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923F1">
      <w:pPr>
        <w:spacing w:before="0" w:beforeAutospacing="0" w:after="0" w:afterAutospacing="0" w:line="600" w:lineRule="exact"/>
        <w:ind w:firstLine="0" w:firstLineChars="0"/>
        <w:jc w:val="center"/>
        <w:rPr>
          <w:rFonts w:ascii="仿宋_GB2312" w:eastAsia="仿宋_GB2312"/>
          <w:color w:val="000000" w:themeColor="text1"/>
          <w:szCs w:val="32"/>
        </w:rPr>
      </w:pPr>
      <w:bookmarkStart w:id="0" w:name="_GoBack"/>
      <w:bookmarkEnd w:id="0"/>
      <w:r>
        <w:rPr>
          <w:rFonts w:hint="eastAsia" w:ascii="方正小标宋简体" w:hAnsi="宋体" w:eastAsia="方正小标宋简体"/>
          <w:bCs/>
          <w:sz w:val="44"/>
          <w:szCs w:val="44"/>
        </w:rPr>
        <w:t>南阳农业职业学院教职工平时考核暂行办法</w:t>
      </w:r>
    </w:p>
    <w:p w14:paraId="25D4285E">
      <w:pPr>
        <w:spacing w:before="0" w:beforeAutospacing="0" w:after="0" w:afterAutospacing="0" w:line="560" w:lineRule="exact"/>
        <w:ind w:firstLine="632"/>
        <w:rPr>
          <w:rFonts w:ascii="仿宋_GB2312" w:eastAsia="仿宋_GB2312"/>
          <w:color w:val="000000" w:themeColor="text1"/>
          <w:szCs w:val="32"/>
        </w:rPr>
      </w:pPr>
    </w:p>
    <w:p w14:paraId="64DCFCB3">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为加强教职工的日常管理和监督，全面客观准确评价教职工的平时德才表现和工作实绩，激励教职工提高政治业务素质，调动工作积极性、主动性和创造性，认真履职尽责、勤政廉洁，根据《南阳市事业单位工作人员平时考核指导意见》（宛人社〔2018〕90号）等规定，结合学院工作实际，特制定本办法。</w:t>
      </w:r>
    </w:p>
    <w:p w14:paraId="71077321">
      <w:pPr>
        <w:spacing w:before="0" w:beforeAutospacing="0" w:after="0" w:afterAutospacing="0" w:line="560" w:lineRule="exact"/>
        <w:ind w:firstLine="632"/>
        <w:rPr>
          <w:rFonts w:ascii="黑体" w:eastAsia="黑体"/>
          <w:color w:val="000000" w:themeColor="text1"/>
          <w:szCs w:val="32"/>
        </w:rPr>
      </w:pPr>
      <w:r>
        <w:rPr>
          <w:rFonts w:hint="eastAsia" w:ascii="黑体" w:eastAsia="黑体"/>
          <w:color w:val="000000" w:themeColor="text1"/>
          <w:szCs w:val="32"/>
        </w:rPr>
        <w:t>一、考核对象</w:t>
      </w:r>
    </w:p>
    <w:p w14:paraId="18D5BA05">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学院在编在岗教职工及人事代理人员。</w:t>
      </w:r>
    </w:p>
    <w:p w14:paraId="1A3CF487">
      <w:pPr>
        <w:spacing w:before="0" w:beforeAutospacing="0" w:after="0" w:afterAutospacing="0" w:line="560" w:lineRule="exact"/>
        <w:ind w:firstLine="632"/>
        <w:rPr>
          <w:rFonts w:ascii="黑体" w:eastAsia="黑体"/>
          <w:color w:val="000000" w:themeColor="text1"/>
          <w:szCs w:val="32"/>
        </w:rPr>
      </w:pPr>
      <w:r>
        <w:rPr>
          <w:rFonts w:hint="eastAsia" w:ascii="黑体" w:eastAsia="黑体"/>
          <w:color w:val="000000" w:themeColor="text1"/>
          <w:szCs w:val="32"/>
        </w:rPr>
        <w:t>二、考核原则</w:t>
      </w:r>
    </w:p>
    <w:p w14:paraId="377888A3">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坚持依法依规，重实绩、重贡献、重能力的原则；坚持客观公正、公开透明、规范有序的原则；坚持简便易行的原则；根据各岗位特点，实行分类考核的原则；坚持定性与定量相结合，以量化考核为主的原则。</w:t>
      </w:r>
    </w:p>
    <w:p w14:paraId="3D570647">
      <w:pPr>
        <w:spacing w:before="0" w:beforeAutospacing="0" w:after="0" w:afterAutospacing="0" w:line="560" w:lineRule="exact"/>
        <w:ind w:firstLine="632"/>
        <w:rPr>
          <w:rFonts w:ascii="黑体" w:eastAsia="黑体"/>
          <w:color w:val="000000" w:themeColor="text1"/>
          <w:szCs w:val="32"/>
        </w:rPr>
      </w:pPr>
      <w:r>
        <w:rPr>
          <w:rFonts w:hint="eastAsia" w:ascii="黑体" w:eastAsia="黑体"/>
          <w:color w:val="000000" w:themeColor="text1"/>
          <w:szCs w:val="32"/>
        </w:rPr>
        <w:t>三、指导思想</w:t>
      </w:r>
    </w:p>
    <w:p w14:paraId="06FE8CEC">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平时考核以习近平新时代中国特色社会主义思想为指导，建立全方位、分类别、动态化的考核评价体系，建立与岗位职责、工作实绩紧密联系、激励先进的考核办法。</w:t>
      </w:r>
    </w:p>
    <w:p w14:paraId="26556B73">
      <w:pPr>
        <w:spacing w:before="0" w:beforeAutospacing="0" w:after="0" w:afterAutospacing="0" w:line="560" w:lineRule="exact"/>
        <w:ind w:firstLine="632"/>
        <w:rPr>
          <w:rFonts w:ascii="黑体" w:eastAsia="黑体"/>
          <w:color w:val="000000" w:themeColor="text1"/>
          <w:szCs w:val="32"/>
        </w:rPr>
      </w:pPr>
      <w:r>
        <w:rPr>
          <w:rFonts w:hint="eastAsia" w:ascii="黑体" w:eastAsia="黑体"/>
          <w:color w:val="000000" w:themeColor="text1"/>
          <w:szCs w:val="32"/>
        </w:rPr>
        <w:t>四、组织机构</w:t>
      </w:r>
    </w:p>
    <w:p w14:paraId="679223F4">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为加强对平时考核工作的组织领导，学院成立平时考核委员会，负责研究组织、指导、监督平时考核工作，委员会成员如下：</w:t>
      </w:r>
    </w:p>
    <w:p w14:paraId="556E0C83">
      <w:pPr>
        <w:spacing w:before="0" w:beforeAutospacing="0" w:after="0" w:afterAutospacing="0" w:line="560" w:lineRule="exact"/>
        <w:ind w:firstLine="632"/>
        <w:rPr>
          <w:rFonts w:hint="default" w:ascii="仿宋_GB2312" w:eastAsia="仿宋_GB2312"/>
          <w:color w:val="000000" w:themeColor="text1"/>
          <w:szCs w:val="32"/>
          <w:lang w:val="en-US" w:eastAsia="zh-CN"/>
        </w:rPr>
      </w:pPr>
      <w:r>
        <w:rPr>
          <w:rFonts w:hint="eastAsia" w:ascii="仿宋_GB2312" w:eastAsia="仿宋_GB2312"/>
          <w:color w:val="000000" w:themeColor="text1"/>
          <w:szCs w:val="32"/>
        </w:rPr>
        <w:t>主任：</w:t>
      </w:r>
      <w:r>
        <w:rPr>
          <w:rFonts w:hint="eastAsia" w:ascii="仿宋_GB2312" w:eastAsia="仿宋_GB2312"/>
          <w:color w:val="000000" w:themeColor="text1"/>
          <w:szCs w:val="32"/>
          <w:lang w:val="en-US" w:eastAsia="zh-CN"/>
        </w:rPr>
        <w:t>党委书记、校长</w:t>
      </w:r>
    </w:p>
    <w:p w14:paraId="5A8AFA94">
      <w:pPr>
        <w:spacing w:before="0" w:beforeAutospacing="0" w:after="0" w:afterAutospacing="0" w:line="560" w:lineRule="exact"/>
        <w:ind w:firstLine="632"/>
        <w:rPr>
          <w:rFonts w:hint="default" w:ascii="仿宋_GB2312" w:eastAsia="仿宋_GB2312"/>
          <w:color w:val="000000" w:themeColor="text1"/>
          <w:szCs w:val="32"/>
          <w:lang w:val="en-US" w:eastAsia="zh-CN"/>
        </w:rPr>
      </w:pPr>
      <w:r>
        <w:rPr>
          <w:rFonts w:hint="eastAsia" w:ascii="仿宋_GB2312" w:eastAsia="仿宋_GB2312"/>
          <w:color w:val="000000" w:themeColor="text1"/>
          <w:szCs w:val="32"/>
        </w:rPr>
        <w:t>副主任：</w:t>
      </w:r>
      <w:r>
        <w:rPr>
          <w:rFonts w:hint="eastAsia" w:ascii="仿宋_GB2312" w:eastAsia="仿宋_GB2312"/>
          <w:color w:val="000000" w:themeColor="text1"/>
          <w:szCs w:val="32"/>
          <w:lang w:val="en-US" w:eastAsia="zh-CN"/>
        </w:rPr>
        <w:t>党委班子成员</w:t>
      </w:r>
    </w:p>
    <w:p w14:paraId="6A2E6280">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成员由各单位主要负责同志及六位教职工代表组成。</w:t>
      </w:r>
    </w:p>
    <w:p w14:paraId="7B446EBC">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委员会下设办公室，办公室设在人事处。办公室负责平时考核的日常工作。具体履行以下职责：制定平时考核实施办法；组织、指导、监督各单位的平时考核工作；初审被考核人对考核结果不服的复核申请，提出建议交学院平时考核委员会复核确定；负责平时考核工作总结，改进工作方法等。</w:t>
      </w:r>
    </w:p>
    <w:p w14:paraId="1338EDDB">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各单位成立本单位的平时考核工作小组，成员由本单位领导及教职工代表组成。履行以下职责：根据“学院平时考核暂行办法”等，结合本单位教职工岗位特点、岗位职责，本单位日常工作任务、工作目标、重点任务等，制定出本单位的“考核实施细则”（考核标准不得低于学校的要求），经本单位教职工大会通过后报学校审批、备案；组织本单位的平时考核工作；审核认定本单位被考核人的业绩成果等；公布、报送本单位的平时考核结果；受理本单位人员对平时考核结果有异议的复核申请；研究处理本单位人员平时考核中遇到的问题及其他涉及到本单位考核的相关问题；向有关单位报送考核材料等。各单位考核工作小组成员名单应报学院平时考核委员会备案。</w:t>
      </w:r>
    </w:p>
    <w:p w14:paraId="16547B2A">
      <w:pPr>
        <w:spacing w:before="0" w:beforeAutospacing="0" w:after="0" w:afterAutospacing="0" w:line="560" w:lineRule="exact"/>
        <w:ind w:firstLine="632"/>
        <w:rPr>
          <w:rFonts w:ascii="黑体" w:eastAsia="黑体"/>
          <w:color w:val="000000" w:themeColor="text1"/>
          <w:szCs w:val="32"/>
        </w:rPr>
      </w:pPr>
      <w:r>
        <w:rPr>
          <w:rFonts w:hint="eastAsia" w:ascii="黑体" w:eastAsia="黑体"/>
          <w:color w:val="000000" w:themeColor="text1"/>
          <w:szCs w:val="32"/>
        </w:rPr>
        <w:t>五、考核内容和指标</w:t>
      </w:r>
    </w:p>
    <w:p w14:paraId="007E1187">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（一）平时考核以教职工的岗位职责和所承担的工作任务为依据，全面考核教职工的德、能、勤、绩、廉五个方面的日常表现，重点考核完成日常工作任务、完成工作目标和重点任务以及出勤情况。</w:t>
      </w:r>
    </w:p>
    <w:p w14:paraId="20FC166B">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考核指标由共性指标和个性指标构成。共性指标主要包括政治品质、职业道德、工作作风、廉洁自律、出勤情况等，权重占30%。个性指标主要包括工作数量、工作质量、效率以及所产生的效益等，权重占70%。</w:t>
      </w:r>
    </w:p>
    <w:p w14:paraId="0FEC9BC9">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1.德(5%)。主要考核思想政治素质、个人品德及遵守职业道德、社会公德、家庭美德等方面的政治素质及品行。</w:t>
      </w:r>
    </w:p>
    <w:p w14:paraId="06485ED3">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2.能(5%)。主要学术（技术、职业技能）水平、业务水平、工作能力、执行能力、履行本职业务素质、协调能力等方面的能力。</w:t>
      </w:r>
    </w:p>
    <w:p w14:paraId="01182141">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3.勤(10%)。主要考核责任意识、纪律意识、服务意识等工作态度、工作作风及出勤情况方面的表现。</w:t>
      </w:r>
    </w:p>
    <w:p w14:paraId="05DB47D7">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4.廉(10%)。主要考核遵纪守法、廉洁奉公等情况。</w:t>
      </w:r>
    </w:p>
    <w:p w14:paraId="3E5143AB">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5.绩(70%)。主要考核履行岗位职责、完成工作的数量与质量、效率与效果，包括重大任务、日常工作、阶段工作、创新工作完成情况、疑难问题处理情况以及能否按时完成领导交办的临时性工作任务。</w:t>
      </w:r>
    </w:p>
    <w:p w14:paraId="684632BE">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（二）平时考核以月为周期，考核结果分为好、良好、一般、差四个等次。每月考核“好”等次人数控制在参加考核教职工总人数的30%～40%以内。</w:t>
      </w:r>
    </w:p>
    <w:p w14:paraId="45DD43AB">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好：能圆满完成工作任务，工作效率高，质量好；积极主动，办事规范，作风务实，纪律性强，服务热情周到，师生员工反映好；清正廉洁，工作成绩突出。</w:t>
      </w:r>
    </w:p>
    <w:p w14:paraId="59988B52">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良好：能按要求完成工作任务，工作质量较好；工作比较主动，办事较为规范，遵守纪律，服务态度好，师生员工满意；廉洁自律，工作成绩明显。</w:t>
      </w:r>
    </w:p>
    <w:p w14:paraId="6D5B23C2">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一般：能基本完成本职工作，但完成工作的数量不足、质量和效率不高；工作责任心一般或者工作作风方面存在明显不足，群众满意度较低；基本做到廉洁自律，但某些方面存在不足，工作成绩不明显。</w:t>
      </w:r>
    </w:p>
    <w:p w14:paraId="62F2B2D4">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差：不能完成工作任务；在工作中因严重失误、失职造成重大损失或恶劣影响；工作责任心或工作作风差，工作懒散，办事拖拉，群众满意度低；存在不廉洁问题，且情形较为严重。</w:t>
      </w:r>
    </w:p>
    <w:p w14:paraId="13D489B3">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（三）考评指标</w:t>
      </w:r>
    </w:p>
    <w:p w14:paraId="271EACD6">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见附件一。</w:t>
      </w:r>
    </w:p>
    <w:p w14:paraId="182CC9A2">
      <w:pPr>
        <w:spacing w:before="0" w:beforeAutospacing="0" w:after="0" w:afterAutospacing="0" w:line="560" w:lineRule="exact"/>
        <w:ind w:firstLine="632"/>
        <w:rPr>
          <w:rFonts w:ascii="黑体" w:eastAsia="黑体"/>
          <w:color w:val="000000" w:themeColor="text1"/>
          <w:szCs w:val="32"/>
        </w:rPr>
      </w:pPr>
      <w:r>
        <w:rPr>
          <w:rFonts w:hint="eastAsia" w:ascii="黑体" w:eastAsia="黑体"/>
          <w:color w:val="000000" w:themeColor="text1"/>
          <w:szCs w:val="32"/>
        </w:rPr>
        <w:t>六、考核程序和办法</w:t>
      </w:r>
    </w:p>
    <w:p w14:paraId="17E48C2D">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平时考核按照管理权限和规定的程序进行，采取日考勤、周记实、月考核、季审定的方式，并按照下列程序进行：</w:t>
      </w:r>
    </w:p>
    <w:p w14:paraId="2EF05643">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（一）确定考核指标。各单位要根据教职工岗位职责和工作目标，将工作任务逐级分解，确定每名教职工的平时考核目标任务。</w:t>
      </w:r>
    </w:p>
    <w:p w14:paraId="6B375E60">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（二）个人工作记实。教职工以周记形式记录每周履行岗位职责、完成工作任务的数量、质量、重点工作进展等情况，并于月底作出工作小结。</w:t>
      </w:r>
    </w:p>
    <w:p w14:paraId="184D1FA3">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三）提出考核等次建议。每月3日前各单位平时考核工作小组对本单位教职工上月的工作记实进行审核，并根据实际工作完成情况和其它综合因素，对本单位教职工进行评鉴，提出考核等次的初步建议，由单位主要负责人写出评语和考核等次建议，并报主管院领导审批。</w:t>
      </w:r>
    </w:p>
    <w:p w14:paraId="53E52B01">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（四）审定考核等次。学院平时考核委员会在季度终了5日内审核各单位对本单位教职工提出的考核评语及考核等次建议，确定教职工平时考核结果。</w:t>
      </w:r>
    </w:p>
    <w:p w14:paraId="7D07A967">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（五）反馈考核结果。各单位主管院领导采取谈话或书面形式向分管单位的教职工及时反馈本季度考核结果和改进提高的要求。</w:t>
      </w:r>
    </w:p>
    <w:p w14:paraId="61884528">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（六）公示考核情况。学院平时考核委员会办公室采取适当形式将季度考核结果在一定范围内公示，公示期为3个工作日。</w:t>
      </w:r>
    </w:p>
    <w:p w14:paraId="2E44371C">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（七）汇总考核情况。人事处负责将教职工平时考核情况汇总存档。</w:t>
      </w:r>
    </w:p>
    <w:p w14:paraId="1489B565">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（八）考核情况报备。人事处在每季度终了8日内，将上季度三个月的平时考核结果，报送市委组织部、市人社局审核备案。</w:t>
      </w:r>
    </w:p>
    <w:p w14:paraId="4B435EB8">
      <w:pPr>
        <w:spacing w:before="0" w:beforeAutospacing="0" w:after="0" w:afterAutospacing="0" w:line="560" w:lineRule="exact"/>
        <w:ind w:firstLine="632"/>
        <w:rPr>
          <w:rFonts w:ascii="黑体" w:eastAsia="黑体"/>
          <w:color w:val="000000" w:themeColor="text1"/>
          <w:szCs w:val="32"/>
        </w:rPr>
      </w:pPr>
      <w:r>
        <w:rPr>
          <w:rFonts w:hint="eastAsia" w:ascii="黑体" w:eastAsia="黑体"/>
          <w:color w:val="000000" w:themeColor="text1"/>
          <w:szCs w:val="32"/>
        </w:rPr>
        <w:t>七、考核结果使用</w:t>
      </w:r>
    </w:p>
    <w:p w14:paraId="0FC76BBA">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（一）教职工的专业技术职务晋升、专技及工勤岗位等级晋升、教育培训、评先选优、人才培养选拔、行政职务级别调整、奖励惩戒等要参考平时考核结果。</w:t>
      </w:r>
    </w:p>
    <w:p w14:paraId="35B48CD9">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（二）对平时考核结果“好”和“良好”等次的教职工，给予精神奖励和物质奖励。</w:t>
      </w:r>
    </w:p>
    <w:p w14:paraId="75625A44">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（三）平时考核是年度考核、业务考核、聘期考核的基础，年度考核、业务考核优秀等次人员应在当年平时考核获得“好”等次较多，且无“一般”“差”等次的教职工中产生。</w:t>
      </w:r>
    </w:p>
    <w:p w14:paraId="7B59CEDC">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（四）对平时考核结果为“一般”“差”等次的教职工，应当及时提醒，提出整改要求，限期改进。</w:t>
      </w:r>
    </w:p>
    <w:p w14:paraId="60E26DD3">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（五）学院平时考核委员会办公室应加强对平时考核结果的综合分析，根据考核结果，及时改进工作方法，推进工作落实。</w:t>
      </w:r>
    </w:p>
    <w:p w14:paraId="4E217639">
      <w:pPr>
        <w:spacing w:before="0" w:beforeAutospacing="0" w:after="0" w:afterAutospacing="0" w:line="560" w:lineRule="exact"/>
        <w:ind w:firstLine="632"/>
        <w:rPr>
          <w:rFonts w:ascii="黑体" w:eastAsia="黑体"/>
          <w:color w:val="000000" w:themeColor="text1"/>
          <w:szCs w:val="32"/>
          <w:highlight w:val="none"/>
        </w:rPr>
      </w:pPr>
      <w:r>
        <w:rPr>
          <w:rFonts w:hint="eastAsia" w:ascii="黑体" w:eastAsia="黑体"/>
          <w:color w:val="000000" w:themeColor="text1"/>
          <w:szCs w:val="32"/>
          <w:highlight w:val="none"/>
        </w:rPr>
        <w:t>八、相关事宜</w:t>
      </w:r>
    </w:p>
    <w:p w14:paraId="0F86A9A8">
      <w:pPr>
        <w:spacing w:before="0" w:beforeAutospacing="0" w:after="0" w:afterAutospacing="0" w:line="560" w:lineRule="exact"/>
        <w:ind w:firstLine="632"/>
        <w:rPr>
          <w:rFonts w:ascii="仿宋_GB2312" w:eastAsia="仿宋_GB2312"/>
          <w:color w:val="000000" w:themeColor="text1"/>
          <w:szCs w:val="32"/>
          <w:highlight w:val="none"/>
        </w:rPr>
      </w:pPr>
      <w:r>
        <w:rPr>
          <w:rFonts w:hint="eastAsia" w:ascii="仿宋_GB2312" w:eastAsia="仿宋_GB2312"/>
          <w:color w:val="000000" w:themeColor="text1"/>
          <w:szCs w:val="32"/>
          <w:highlight w:val="none"/>
        </w:rPr>
        <w:t>（一）新进人员在当月15日前报到的参加平时考核，当月15日以后报到的从次月起开始参加平时考核。教职工办理退休手续的当月参加平时考核，确定等次；从办理退休手续的次月起不再参加平时考核。调离人员在当月15日前办理调离手续不再参加平时考核，当月15日以后办理调离手续的从次月起不再参加平时考核。各单位间调动人员，在工作超过考核周期一半以上的单位结合调出（或调入）单位履职尽责等情况确定考核等次。</w:t>
      </w:r>
    </w:p>
    <w:p w14:paraId="32346E61">
      <w:pPr>
        <w:spacing w:before="0" w:beforeAutospacing="0" w:after="0" w:afterAutospacing="0" w:line="560" w:lineRule="exact"/>
        <w:ind w:firstLine="632"/>
        <w:rPr>
          <w:rFonts w:ascii="仿宋_GB2312" w:eastAsia="仿宋_GB2312"/>
          <w:color w:val="000000" w:themeColor="text1"/>
          <w:szCs w:val="32"/>
          <w:highlight w:val="none"/>
        </w:rPr>
      </w:pPr>
      <w:r>
        <w:rPr>
          <w:rFonts w:hint="eastAsia" w:ascii="仿宋_GB2312" w:eastAsia="仿宋_GB2312"/>
          <w:color w:val="000000" w:themeColor="text1"/>
          <w:szCs w:val="32"/>
          <w:highlight w:val="none"/>
        </w:rPr>
        <w:t>（二）经组织外派挂职、援疆、驻村、外出学习（培训）等情形的教职工，由所在主管部门提出评语和考核等次建议，由学院平时考核委员会确定考核等次。</w:t>
      </w:r>
    </w:p>
    <w:p w14:paraId="4A8770A8">
      <w:pPr>
        <w:spacing w:before="0" w:beforeAutospacing="0" w:after="0" w:afterAutospacing="0" w:line="560" w:lineRule="exact"/>
        <w:ind w:firstLine="632"/>
        <w:rPr>
          <w:rFonts w:ascii="仿宋_GB2312" w:eastAsia="仿宋_GB2312"/>
          <w:color w:val="000000" w:themeColor="text1"/>
          <w:szCs w:val="32"/>
          <w:highlight w:val="none"/>
        </w:rPr>
      </w:pPr>
      <w:r>
        <w:rPr>
          <w:rFonts w:hint="eastAsia" w:ascii="仿宋_GB2312" w:eastAsia="仿宋_GB2312"/>
          <w:color w:val="000000" w:themeColor="text1"/>
          <w:szCs w:val="32"/>
          <w:highlight w:val="none"/>
        </w:rPr>
        <w:t>（三）人事处按照学院考勤制度负责对教职工出缺勤情况进行登记，每月考勤汇总情况作为教职工平时考核的重要内容。</w:t>
      </w:r>
    </w:p>
    <w:p w14:paraId="19E28B37">
      <w:pPr>
        <w:spacing w:before="0" w:beforeAutospacing="0" w:after="0" w:afterAutospacing="0" w:line="560" w:lineRule="exact"/>
        <w:ind w:firstLine="632"/>
        <w:rPr>
          <w:rFonts w:ascii="仿宋_GB2312" w:eastAsia="仿宋_GB2312"/>
          <w:color w:val="000000" w:themeColor="text1"/>
          <w:szCs w:val="32"/>
          <w:highlight w:val="none"/>
        </w:rPr>
      </w:pPr>
      <w:r>
        <w:rPr>
          <w:rFonts w:hint="eastAsia" w:ascii="仿宋_GB2312" w:eastAsia="仿宋_GB2312"/>
          <w:color w:val="000000" w:themeColor="text1"/>
          <w:szCs w:val="32"/>
          <w:highlight w:val="none"/>
        </w:rPr>
        <w:t>1.考核周期内病事假累计超过12个工作日的，参加平时考核，不确定等次；发现病事假审批单、销假单未按规定在人事处备案超过2次及有旷工情形的，参加平时考核，不确定等次。</w:t>
      </w:r>
    </w:p>
    <w:p w14:paraId="0383C140">
      <w:pPr>
        <w:spacing w:before="0" w:beforeAutospacing="0" w:after="0" w:afterAutospacing="0" w:line="560" w:lineRule="exact"/>
        <w:ind w:firstLine="632"/>
        <w:rPr>
          <w:rFonts w:ascii="仿宋_GB2312" w:eastAsia="仿宋_GB2312"/>
          <w:color w:val="000000" w:themeColor="text1"/>
          <w:szCs w:val="32"/>
          <w:highlight w:val="none"/>
        </w:rPr>
      </w:pPr>
      <w:r>
        <w:rPr>
          <w:rFonts w:hint="eastAsia" w:ascii="仿宋_GB2312" w:eastAsia="仿宋_GB2312"/>
          <w:color w:val="000000" w:themeColor="text1"/>
          <w:szCs w:val="32"/>
          <w:highlight w:val="none"/>
        </w:rPr>
        <w:t>2.依法休婚假、产假、探亲假等法定假期超过考核周期一半以上的，休假期间免于平时考核，确定等次，但一般不确定为“好”等次。</w:t>
      </w:r>
    </w:p>
    <w:p w14:paraId="3D67FF5D">
      <w:pPr>
        <w:spacing w:before="0" w:beforeAutospacing="0" w:after="0" w:afterAutospacing="0" w:line="560" w:lineRule="exact"/>
        <w:ind w:firstLine="632"/>
        <w:rPr>
          <w:rFonts w:ascii="仿宋_GB2312" w:eastAsia="仿宋_GB2312"/>
          <w:color w:val="000000" w:themeColor="text1"/>
          <w:szCs w:val="32"/>
          <w:highlight w:val="none"/>
        </w:rPr>
      </w:pPr>
      <w:r>
        <w:rPr>
          <w:rFonts w:hint="eastAsia" w:ascii="仿宋_GB2312" w:eastAsia="仿宋_GB2312"/>
          <w:color w:val="000000" w:themeColor="text1"/>
          <w:szCs w:val="32"/>
          <w:highlight w:val="none"/>
        </w:rPr>
        <w:t>3.因公负伤在治疗期间的教职工，参加平时考核，确定等次，但一般不确定为“好”等次。</w:t>
      </w:r>
    </w:p>
    <w:p w14:paraId="2512C99B">
      <w:pPr>
        <w:spacing w:before="0" w:beforeAutospacing="0" w:after="0" w:afterAutospacing="0" w:line="560" w:lineRule="exact"/>
        <w:ind w:firstLine="632"/>
        <w:rPr>
          <w:rFonts w:ascii="仿宋_GB2312" w:eastAsia="仿宋_GB2312"/>
          <w:color w:val="000000" w:themeColor="text1"/>
          <w:szCs w:val="32"/>
          <w:highlight w:val="none"/>
        </w:rPr>
      </w:pPr>
      <w:r>
        <w:rPr>
          <w:rFonts w:hint="eastAsia" w:ascii="仿宋_GB2312" w:eastAsia="仿宋_GB2312"/>
          <w:color w:val="000000" w:themeColor="text1"/>
          <w:szCs w:val="32"/>
          <w:highlight w:val="none"/>
        </w:rPr>
        <w:t>（四）教职工涉嫌违法违纪被立案调查尚未结案的，参加平时考核，不确定等次。结案后，认定有违法违纪行为受纪律处分或免于处分的，不补定立案调查期间平时考核等次；认定无违法违纪行为的，按规定补定考核等次。</w:t>
      </w:r>
    </w:p>
    <w:p w14:paraId="0E879C5D">
      <w:pPr>
        <w:spacing w:before="0" w:beforeAutospacing="0" w:after="0" w:afterAutospacing="0" w:line="560" w:lineRule="exact"/>
        <w:ind w:firstLine="632"/>
        <w:rPr>
          <w:rFonts w:ascii="仿宋_GB2312" w:eastAsia="仿宋_GB2312"/>
          <w:color w:val="000000" w:themeColor="text1"/>
          <w:szCs w:val="32"/>
          <w:highlight w:val="none"/>
        </w:rPr>
      </w:pPr>
      <w:r>
        <w:rPr>
          <w:rFonts w:hint="eastAsia" w:ascii="仿宋_GB2312" w:eastAsia="仿宋_GB2312"/>
          <w:color w:val="000000" w:themeColor="text1"/>
          <w:szCs w:val="32"/>
          <w:highlight w:val="none"/>
        </w:rPr>
        <w:t>（五）受党纪、政纪处分教职工的平时考核，参照年度考核有关规定办理。</w:t>
      </w:r>
    </w:p>
    <w:p w14:paraId="434538D4">
      <w:pPr>
        <w:spacing w:before="0" w:beforeAutospacing="0" w:after="0" w:afterAutospacing="0" w:line="560" w:lineRule="exact"/>
        <w:ind w:firstLine="632"/>
        <w:rPr>
          <w:rFonts w:ascii="仿宋_GB2312" w:eastAsia="仿宋_GB2312"/>
          <w:color w:val="000000" w:themeColor="text1"/>
          <w:szCs w:val="32"/>
          <w:highlight w:val="none"/>
        </w:rPr>
      </w:pPr>
      <w:r>
        <w:rPr>
          <w:rFonts w:hint="eastAsia" w:ascii="仿宋_GB2312" w:eastAsia="仿宋_GB2312"/>
          <w:color w:val="000000" w:themeColor="text1"/>
          <w:szCs w:val="32"/>
          <w:highlight w:val="none"/>
        </w:rPr>
        <w:t>（六）对无正当理由不参加平时考核的教职工，经教育后仍然拒绝参加的，直接确定其考核结果为“差”等次。</w:t>
      </w:r>
    </w:p>
    <w:p w14:paraId="6D71A7D5">
      <w:pPr>
        <w:spacing w:before="0" w:beforeAutospacing="0" w:after="0" w:afterAutospacing="0" w:line="560" w:lineRule="exact"/>
        <w:ind w:firstLine="632"/>
        <w:rPr>
          <w:rFonts w:ascii="仿宋_GB2312" w:eastAsia="仿宋_GB2312"/>
          <w:color w:val="000000" w:themeColor="text1"/>
          <w:szCs w:val="32"/>
          <w:highlight w:val="none"/>
        </w:rPr>
      </w:pPr>
      <w:r>
        <w:rPr>
          <w:rFonts w:hint="eastAsia" w:ascii="仿宋_GB2312" w:eastAsia="仿宋_GB2312"/>
          <w:color w:val="000000" w:themeColor="text1"/>
          <w:szCs w:val="32"/>
          <w:highlight w:val="none"/>
        </w:rPr>
        <w:t>（七）对在考核过程中有徇私舞弊、打击报复、弄虚作假等违法违纪行为的，取消获得相应的等次资格，并依照有关规定予以严肃处理。</w:t>
      </w:r>
    </w:p>
    <w:p w14:paraId="49FFE98D">
      <w:pPr>
        <w:spacing w:before="0" w:beforeAutospacing="0" w:after="0" w:afterAutospacing="0" w:line="560" w:lineRule="exact"/>
        <w:ind w:firstLine="632"/>
        <w:rPr>
          <w:rFonts w:ascii="仿宋_GB2312" w:eastAsia="仿宋_GB2312"/>
          <w:color w:val="000000" w:themeColor="text1"/>
          <w:szCs w:val="32"/>
          <w:highlight w:val="none"/>
        </w:rPr>
      </w:pPr>
      <w:r>
        <w:rPr>
          <w:rFonts w:hint="eastAsia" w:ascii="仿宋_GB2312" w:eastAsia="仿宋_GB2312"/>
          <w:color w:val="000000" w:themeColor="text1"/>
          <w:szCs w:val="32"/>
          <w:highlight w:val="none"/>
        </w:rPr>
        <w:t>（八）学院人事组织部门要强化对平时考核工作的督导检查，建立随时抽查、定期检查制度。</w:t>
      </w:r>
    </w:p>
    <w:p w14:paraId="64C6E84B">
      <w:pPr>
        <w:spacing w:before="0" w:beforeAutospacing="0" w:after="0" w:afterAutospacing="0" w:line="560" w:lineRule="exact"/>
        <w:ind w:firstLine="632"/>
        <w:rPr>
          <w:rFonts w:hint="eastAsia" w:ascii="仿宋_GB2312" w:eastAsia="仿宋_GB2312"/>
          <w:color w:val="000000" w:themeColor="text1"/>
          <w:szCs w:val="32"/>
          <w:highlight w:val="none"/>
        </w:rPr>
      </w:pPr>
      <w:r>
        <w:rPr>
          <w:rFonts w:hint="eastAsia" w:ascii="仿宋_GB2312" w:eastAsia="仿宋_GB2312"/>
          <w:color w:val="000000" w:themeColor="text1"/>
          <w:szCs w:val="32"/>
          <w:highlight w:val="none"/>
        </w:rPr>
        <w:t>（九）建立监督制度及考核结果异议复核制度。成立由工会、纪检监察等部门人员组成的学院平时考核申诉委员会（设在工会）。学院平时考核委员会建立健全监督机制，加强约束和监控，对教职工的投诉材料认真调查处理。考核人坚持公开、公正、公平原则，对违规操作行为，实行责任追究。教职工发现考核中有违纪等行为可向学院纪检部门举报，一经查实，追究其责任。</w:t>
      </w:r>
    </w:p>
    <w:p w14:paraId="42A94629">
      <w:pPr>
        <w:spacing w:before="0" w:beforeAutospacing="0" w:after="0" w:afterAutospacing="0" w:line="560" w:lineRule="exact"/>
        <w:ind w:firstLine="632"/>
        <w:rPr>
          <w:rFonts w:ascii="仿宋_GB2312" w:eastAsia="仿宋_GB2312"/>
          <w:color w:val="000000" w:themeColor="text1"/>
          <w:szCs w:val="32"/>
          <w:highlight w:val="none"/>
        </w:rPr>
      </w:pPr>
      <w:r>
        <w:rPr>
          <w:rFonts w:hint="eastAsia" w:ascii="仿宋_GB2312" w:eastAsia="仿宋_GB2312"/>
          <w:color w:val="000000" w:themeColor="text1"/>
          <w:szCs w:val="32"/>
          <w:highlight w:val="none"/>
        </w:rPr>
        <w:t>教职工对平时考核结果有异议，可以向平时考核申诉委员会提交书面报告，提请学院平时考核委员会复核，平时考核申诉委员会负责将学院平时考核委员会复核意见通知有关单位和教职工本人。</w:t>
      </w:r>
    </w:p>
    <w:p w14:paraId="4BB8E6FF">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highlight w:val="none"/>
        </w:rPr>
        <w:t>（十）在处室兼职的专业技术人员，分别参加所</w:t>
      </w:r>
      <w:r>
        <w:rPr>
          <w:rFonts w:hint="eastAsia" w:ascii="仿宋_GB2312" w:eastAsia="仿宋_GB2312"/>
          <w:color w:val="000000" w:themeColor="text1"/>
          <w:szCs w:val="32"/>
        </w:rPr>
        <w:t>在单位、专业技术单位的考核，由所在单位综合专业技术单位的考核确定考核结果。</w:t>
      </w:r>
    </w:p>
    <w:p w14:paraId="019ED0AF">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（十一）本办法由学院平时考核委员会负责解释，自2018年8月1日起实施。</w:t>
      </w:r>
    </w:p>
    <w:p w14:paraId="23C88290">
      <w:pPr>
        <w:spacing w:before="0" w:beforeAutospacing="0" w:after="0" w:afterAutospacing="0" w:line="560" w:lineRule="exact"/>
        <w:ind w:firstLine="0" w:firstLineChars="0"/>
        <w:rPr>
          <w:rFonts w:ascii="仿宋_GB2312" w:eastAsia="仿宋_GB2312"/>
          <w:color w:val="000000" w:themeColor="text1"/>
          <w:szCs w:val="32"/>
        </w:rPr>
      </w:pPr>
    </w:p>
    <w:p w14:paraId="09FE9C04">
      <w:pPr>
        <w:spacing w:before="0" w:beforeAutospacing="0" w:after="0" w:afterAutospacing="0" w:line="560" w:lineRule="exact"/>
        <w:ind w:firstLine="0" w:firstLineChars="0"/>
        <w:rPr>
          <w:rFonts w:ascii="仿宋_GB2312" w:eastAsia="仿宋_GB2312"/>
          <w:color w:val="000000" w:themeColor="text1"/>
          <w:szCs w:val="32"/>
        </w:rPr>
      </w:pPr>
    </w:p>
    <w:p w14:paraId="592F65B2">
      <w:pPr>
        <w:spacing w:before="0" w:beforeAutospacing="0" w:after="0" w:afterAutospacing="0" w:line="560" w:lineRule="exact"/>
        <w:ind w:firstLine="0" w:firstLineChars="0"/>
        <w:rPr>
          <w:rFonts w:ascii="仿宋_GB2312" w:eastAsia="仿宋_GB2312"/>
          <w:color w:val="000000" w:themeColor="text1"/>
          <w:szCs w:val="32"/>
        </w:rPr>
      </w:pPr>
    </w:p>
    <w:p w14:paraId="487768CB">
      <w:pPr>
        <w:spacing w:before="0" w:beforeAutospacing="0" w:after="0" w:afterAutospacing="0" w:line="560" w:lineRule="exact"/>
        <w:ind w:firstLine="0" w:firstLineChars="0"/>
        <w:rPr>
          <w:rFonts w:hint="eastAsia" w:ascii="仿宋_GB2312" w:eastAsia="仿宋_GB2312"/>
          <w:color w:val="000000" w:themeColor="text1"/>
          <w:szCs w:val="32"/>
        </w:rPr>
      </w:pPr>
    </w:p>
    <w:p w14:paraId="014973E3">
      <w:pPr>
        <w:spacing w:before="0" w:beforeAutospacing="0" w:after="0" w:afterAutospacing="0" w:line="560" w:lineRule="exact"/>
        <w:ind w:firstLine="0" w:firstLineChars="0"/>
        <w:rPr>
          <w:rFonts w:hint="eastAsia" w:ascii="仿宋_GB2312" w:eastAsia="仿宋_GB2312"/>
          <w:color w:val="000000" w:themeColor="text1"/>
          <w:szCs w:val="32"/>
        </w:rPr>
      </w:pPr>
    </w:p>
    <w:p w14:paraId="5ED1ED07">
      <w:pPr>
        <w:spacing w:before="0" w:beforeAutospacing="0" w:after="0" w:afterAutospacing="0" w:line="560" w:lineRule="exact"/>
        <w:ind w:firstLine="0" w:firstLineChars="0"/>
        <w:rPr>
          <w:rFonts w:hint="eastAsia" w:ascii="仿宋_GB2312" w:eastAsia="仿宋_GB2312"/>
          <w:color w:val="000000" w:themeColor="text1"/>
          <w:szCs w:val="32"/>
        </w:rPr>
      </w:pPr>
    </w:p>
    <w:p w14:paraId="3660BE8E">
      <w:pPr>
        <w:spacing w:before="0" w:beforeAutospacing="0" w:after="0" w:afterAutospacing="0" w:line="560" w:lineRule="exact"/>
        <w:ind w:firstLine="0" w:firstLineChars="0"/>
        <w:rPr>
          <w:rFonts w:hint="eastAsia" w:ascii="仿宋_GB2312" w:eastAsia="仿宋_GB2312"/>
          <w:color w:val="000000" w:themeColor="text1"/>
          <w:szCs w:val="32"/>
        </w:rPr>
      </w:pPr>
    </w:p>
    <w:p w14:paraId="04C1AFA5">
      <w:pPr>
        <w:spacing w:before="0" w:beforeAutospacing="0" w:after="0" w:afterAutospacing="0" w:line="560" w:lineRule="exact"/>
        <w:ind w:firstLine="0" w:firstLineChars="0"/>
        <w:rPr>
          <w:rFonts w:ascii="仿宋_GB2312" w:eastAsia="仿宋_GB2312"/>
          <w:color w:val="000000" w:themeColor="text1"/>
          <w:szCs w:val="32"/>
        </w:rPr>
      </w:pPr>
    </w:p>
    <w:p w14:paraId="304D8D0B">
      <w:pPr>
        <w:spacing w:before="0" w:beforeAutospacing="0" w:after="0" w:afterAutospacing="0" w:line="560" w:lineRule="exact"/>
        <w:ind w:firstLine="0" w:firstLineChars="0"/>
        <w:rPr>
          <w:rFonts w:ascii="仿宋_GB2312" w:eastAsia="仿宋_GB2312"/>
          <w:color w:val="000000" w:themeColor="text1"/>
          <w:szCs w:val="32"/>
        </w:rPr>
      </w:pPr>
    </w:p>
    <w:p w14:paraId="239D3D11">
      <w:pPr>
        <w:spacing w:before="0" w:beforeAutospacing="0" w:after="0" w:afterAutospacing="0" w:line="560" w:lineRule="exact"/>
        <w:ind w:firstLine="0" w:firstLineChars="0"/>
        <w:rPr>
          <w:rFonts w:ascii="仿宋_GB2312" w:eastAsia="仿宋_GB2312"/>
          <w:color w:val="000000" w:themeColor="text1"/>
          <w:szCs w:val="32"/>
        </w:rPr>
      </w:pPr>
      <w:r>
        <w:rPr>
          <w:rFonts w:hint="eastAsia" w:ascii="仿宋_GB2312" w:eastAsia="仿宋_GB2312"/>
          <w:color w:val="000000" w:themeColor="text1"/>
          <w:szCs w:val="32"/>
        </w:rPr>
        <w:t>附件一：</w:t>
      </w:r>
    </w:p>
    <w:p w14:paraId="1DBA3AC9">
      <w:pPr>
        <w:spacing w:before="0" w:beforeAutospacing="0" w:after="0" w:afterAutospacing="0" w:line="560" w:lineRule="exact"/>
        <w:ind w:firstLine="872"/>
        <w:jc w:val="center"/>
        <w:rPr>
          <w:rFonts w:ascii="方正小标宋简体" w:eastAsia="方正小标宋简体"/>
          <w:color w:val="000000" w:themeColor="text1"/>
          <w:sz w:val="44"/>
          <w:szCs w:val="44"/>
        </w:rPr>
      </w:pPr>
      <w:r>
        <w:rPr>
          <w:rFonts w:hint="eastAsia" w:ascii="方正小标宋简体" w:eastAsia="方正小标宋简体"/>
          <w:color w:val="000000" w:themeColor="text1"/>
          <w:sz w:val="44"/>
          <w:szCs w:val="44"/>
        </w:rPr>
        <w:t>南阳农业职业学院教职工平时考核指标</w:t>
      </w:r>
    </w:p>
    <w:p w14:paraId="4AABB92D">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一、凡有下列情况之一的，半年内考核结果不能确定为“良好”及以上等次:</w:t>
      </w:r>
    </w:p>
    <w:p w14:paraId="21F7DFFE">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（一）“师德师风”、“道德品行”的考核得分低于80%，或严重违反师德和职业道德，出现教育部《关于建立健全高校师德建设长效机制的意见》中规定的七种情况之一的:</w:t>
      </w:r>
    </w:p>
    <w:p w14:paraId="58775E4A">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1.损害国家利益，损害学生和学校合法权益的行为；</w:t>
      </w:r>
    </w:p>
    <w:p w14:paraId="3C995AD0">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2.在教育教学活动中有违背党的路线方针政策的言行；</w:t>
      </w:r>
    </w:p>
    <w:p w14:paraId="6F1EDD00">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3.在科研工作中弄虚作假、抄袭剽窃、篡改侵吞他人学术成果、违规使用科研经费以及滥用学术资源和学术影响；</w:t>
      </w:r>
    </w:p>
    <w:p w14:paraId="6DAF47EC">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4.影响正常教育教学工作的兼职兼薪行为；</w:t>
      </w:r>
    </w:p>
    <w:p w14:paraId="10731DB4">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5.在招生、考试、学生推优等工作中徇私舞弊；</w:t>
      </w:r>
    </w:p>
    <w:p w14:paraId="7B01CD6D">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6.索要或收受学生及家长的礼品、礼金、有价证券、支付凭证等财物；</w:t>
      </w:r>
    </w:p>
    <w:p w14:paraId="4BD850FF">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7.对学生实施性骚扰或与学生发生不正当关系。</w:t>
      </w:r>
    </w:p>
    <w:p w14:paraId="4143AFB4">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（二）由于工作失职，造成责任事故，导致经济损失或影响学校声誉和形象，或对教学、科研和管理工作造成不良影响的；</w:t>
      </w:r>
    </w:p>
    <w:p w14:paraId="76995EDF">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（三）以非法方式表达诉求、干扰正常教育教学秩序、损害学校和学生利益的；</w:t>
      </w:r>
    </w:p>
    <w:p w14:paraId="04FB3788">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（四）无正当理由拒不接受培训、交流、教学安排及其他工作任务的，或不接受学校及所在单位安排的工作的；</w:t>
      </w:r>
    </w:p>
    <w:p w14:paraId="24CB5C6C">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（五）其他经上级部门或学校认定为不能评为“良好”及以上等次的。</w:t>
      </w:r>
    </w:p>
    <w:p w14:paraId="14B6C5F9">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二、凡有下列情况之一的，当月考核结果不能确定为“良好”及以上等次:</w:t>
      </w:r>
    </w:p>
    <w:p w14:paraId="6BDEFE19">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（一）发生工作失误或出现责任差错的，或被学院相关部门通报的；</w:t>
      </w:r>
    </w:p>
    <w:p w14:paraId="78B23383">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（二）有旷工行为的；</w:t>
      </w:r>
    </w:p>
    <w:p w14:paraId="1D013ED4">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（三）没有工作量（工作任务），或者完成部分工作量（工作任务），但质量不高、效果不好，师生反映意见较大的；</w:t>
      </w:r>
    </w:p>
    <w:p w14:paraId="218E2815">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（四）无故不参加学校或本单位举行的集体学习、会议等活动的；</w:t>
      </w:r>
    </w:p>
    <w:p w14:paraId="1F0BF7B6">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（五）无正当理由，不参加学校或本单位安排的培训、学习或其他任务的；</w:t>
      </w:r>
    </w:p>
    <w:p w14:paraId="1E86B7C1">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（六）负责或分管的工作业绩平平，群众意见较大的；</w:t>
      </w:r>
    </w:p>
    <w:p w14:paraId="66EBA9A2">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（七）在学校工作纪律抽查中，违纪但未受到党纪、政纪处分的；</w:t>
      </w:r>
    </w:p>
    <w:p w14:paraId="6DE00AE1">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（八）其他经上级部门或学校认定为不能评为“良好”等次的。</w:t>
      </w:r>
    </w:p>
    <w:p w14:paraId="40DD9FC5">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三、凡有下列情况之一的，当月考核结果不能确定为“好”等次:</w:t>
      </w:r>
    </w:p>
    <w:p w14:paraId="00937F3F">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（一）只完成部分学校规定的工作量或工作任务；</w:t>
      </w:r>
    </w:p>
    <w:p w14:paraId="5C04E35E">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（二）当月病假、事假累计超过6个但不超过12个工作日的；</w:t>
      </w:r>
    </w:p>
    <w:p w14:paraId="128E19F7">
      <w:pPr>
        <w:spacing w:before="0" w:beforeAutospacing="0" w:after="0" w:afterAutospacing="0" w:line="560" w:lineRule="exact"/>
        <w:ind w:firstLine="632"/>
        <w:rPr>
          <w:rFonts w:ascii="仿宋_GB2312" w:eastAsia="仿宋_GB2312"/>
          <w:color w:val="000000" w:themeColor="text1"/>
          <w:szCs w:val="32"/>
        </w:rPr>
      </w:pPr>
      <w:r>
        <w:rPr>
          <w:rFonts w:hint="eastAsia" w:ascii="仿宋_GB2312" w:eastAsia="仿宋_GB2312"/>
          <w:color w:val="000000" w:themeColor="text1"/>
          <w:szCs w:val="32"/>
        </w:rPr>
        <w:t>（三）其他经上级部门或学校认定为不能评为“好”等次的。</w:t>
      </w:r>
    </w:p>
    <w:tbl>
      <w:tblPr>
        <w:tblStyle w:val="9"/>
        <w:tblW w:w="8802" w:type="dxa"/>
        <w:tblInd w:w="95" w:type="dxa"/>
        <w:tblLayout w:type="autofit"/>
        <w:tblCellMar>
          <w:top w:w="0" w:type="dxa"/>
          <w:left w:w="108" w:type="dxa"/>
          <w:bottom w:w="0" w:type="dxa"/>
          <w:right w:w="108" w:type="dxa"/>
        </w:tblCellMar>
      </w:tblPr>
      <w:tblGrid>
        <w:gridCol w:w="722"/>
        <w:gridCol w:w="992"/>
        <w:gridCol w:w="7088"/>
      </w:tblGrid>
      <w:tr w14:paraId="2C670ABD">
        <w:tblPrEx>
          <w:tblCellMar>
            <w:top w:w="0" w:type="dxa"/>
            <w:left w:w="108" w:type="dxa"/>
            <w:bottom w:w="0" w:type="dxa"/>
            <w:right w:w="108" w:type="dxa"/>
          </w:tblCellMar>
        </w:tblPrEx>
        <w:trPr>
          <w:trHeight w:val="699" w:hRule="atLeast"/>
        </w:trPr>
        <w:tc>
          <w:tcPr>
            <w:tcW w:w="8802" w:type="dxa"/>
            <w:gridSpan w:val="3"/>
            <w:tcBorders>
              <w:top w:val="nil"/>
              <w:left w:val="nil"/>
              <w:bottom w:val="nil"/>
              <w:right w:val="nil"/>
            </w:tcBorders>
            <w:noWrap/>
            <w:vAlign w:val="center"/>
          </w:tcPr>
          <w:p w14:paraId="1DF0A3D9">
            <w:pPr>
              <w:widowControl/>
              <w:spacing w:before="0" w:beforeAutospacing="0" w:after="0" w:afterAutospacing="0" w:line="560" w:lineRule="exact"/>
              <w:ind w:firstLine="790" w:firstLineChars="250"/>
              <w:jc w:val="left"/>
              <w:rPr>
                <w:rFonts w:ascii="仿宋_GB2312" w:eastAsia="仿宋_GB2312"/>
                <w:color w:val="000000" w:themeColor="text1"/>
                <w:szCs w:val="32"/>
              </w:rPr>
            </w:pPr>
            <w:r>
              <w:rPr>
                <w:rFonts w:hint="eastAsia" w:ascii="仿宋_GB2312" w:eastAsia="仿宋_GB2312"/>
                <w:color w:val="000000" w:themeColor="text1"/>
                <w:szCs w:val="32"/>
              </w:rPr>
              <w:t>四、考核评价指标体系（见下表）</w:t>
            </w:r>
          </w:p>
          <w:p w14:paraId="2F77FDBE">
            <w:pPr>
              <w:widowControl/>
              <w:spacing w:before="0" w:beforeAutospacing="0" w:after="0" w:afterAutospacing="0" w:line="560" w:lineRule="exact"/>
              <w:ind w:firstLine="0" w:firstLineChars="0"/>
              <w:jc w:val="center"/>
              <w:rPr>
                <w:rFonts w:ascii="黑体" w:eastAsia="黑体" w:cs="宋体"/>
                <w:b/>
                <w:bCs/>
                <w:color w:val="000000" w:themeColor="text1"/>
                <w:kern w:val="0"/>
                <w:szCs w:val="32"/>
              </w:rPr>
            </w:pPr>
            <w:r>
              <w:rPr>
                <w:rFonts w:hint="eastAsia" w:ascii="黑体" w:eastAsia="黑体"/>
                <w:b/>
                <w:color w:val="000000" w:themeColor="text1"/>
                <w:szCs w:val="32"/>
              </w:rPr>
              <w:t>考核评价指标体系</w:t>
            </w:r>
          </w:p>
        </w:tc>
      </w:tr>
      <w:tr w14:paraId="4FCBC7BE">
        <w:tblPrEx>
          <w:tblCellMar>
            <w:top w:w="0" w:type="dxa"/>
            <w:left w:w="108" w:type="dxa"/>
            <w:bottom w:w="0" w:type="dxa"/>
            <w:right w:w="108" w:type="dxa"/>
          </w:tblCellMar>
        </w:tblPrEx>
        <w:trPr>
          <w:trHeight w:val="699" w:hRule="atLeast"/>
        </w:trPr>
        <w:tc>
          <w:tcPr>
            <w:tcW w:w="722" w:type="dxa"/>
            <w:tcBorders>
              <w:top w:val="single" w:color="auto" w:sz="4" w:space="0"/>
              <w:left w:val="single" w:color="auto" w:sz="4" w:space="0"/>
              <w:bottom w:val="single" w:color="auto" w:sz="4" w:space="0"/>
              <w:right w:val="single" w:color="auto" w:sz="4" w:space="0"/>
            </w:tcBorders>
            <w:vAlign w:val="center"/>
          </w:tcPr>
          <w:p w14:paraId="1AF2E860">
            <w:pPr>
              <w:widowControl/>
              <w:spacing w:before="0" w:beforeAutospacing="0" w:after="0" w:afterAutospacing="0" w:line="320" w:lineRule="exact"/>
              <w:ind w:firstLine="0" w:firstLineChars="0"/>
              <w:jc w:val="center"/>
              <w:rPr>
                <w:rFonts w:ascii="仿宋_GB2312" w:hAnsi="宋体" w:eastAsia="仿宋_GB2312" w:cs="宋体"/>
                <w:b/>
                <w:color w:val="000000" w:themeColor="text1"/>
                <w:kern w:val="0"/>
                <w:sz w:val="24"/>
                <w:szCs w:val="24"/>
              </w:rPr>
            </w:pPr>
            <w:r>
              <w:rPr>
                <w:rFonts w:hint="eastAsia" w:ascii="仿宋_GB2312" w:hAnsi="宋体" w:eastAsia="仿宋_GB2312" w:cs="宋体"/>
                <w:b/>
                <w:color w:val="000000" w:themeColor="text1"/>
                <w:kern w:val="0"/>
                <w:sz w:val="24"/>
                <w:szCs w:val="24"/>
              </w:rPr>
              <w:t>一级指标</w:t>
            </w:r>
          </w:p>
        </w:tc>
        <w:tc>
          <w:tcPr>
            <w:tcW w:w="992" w:type="dxa"/>
            <w:tcBorders>
              <w:top w:val="single" w:color="auto" w:sz="4" w:space="0"/>
              <w:left w:val="nil"/>
              <w:bottom w:val="single" w:color="auto" w:sz="4" w:space="0"/>
              <w:right w:val="single" w:color="auto" w:sz="4" w:space="0"/>
            </w:tcBorders>
            <w:vAlign w:val="center"/>
          </w:tcPr>
          <w:p w14:paraId="2EE2741E">
            <w:pPr>
              <w:widowControl/>
              <w:spacing w:before="0" w:beforeAutospacing="0" w:after="0" w:afterAutospacing="0" w:line="320" w:lineRule="exact"/>
              <w:ind w:firstLine="0" w:firstLineChars="0"/>
              <w:jc w:val="center"/>
              <w:rPr>
                <w:rFonts w:ascii="仿宋_GB2312" w:hAnsi="宋体" w:eastAsia="仿宋_GB2312" w:cs="宋体"/>
                <w:b/>
                <w:color w:val="000000" w:themeColor="text1"/>
                <w:kern w:val="0"/>
                <w:sz w:val="24"/>
                <w:szCs w:val="24"/>
              </w:rPr>
            </w:pPr>
            <w:r>
              <w:rPr>
                <w:rFonts w:hint="eastAsia" w:ascii="仿宋_GB2312" w:hAnsi="宋体" w:eastAsia="仿宋_GB2312" w:cs="宋体"/>
                <w:b/>
                <w:color w:val="000000" w:themeColor="text1"/>
                <w:kern w:val="0"/>
                <w:sz w:val="24"/>
                <w:szCs w:val="24"/>
              </w:rPr>
              <w:t>二级</w:t>
            </w:r>
          </w:p>
          <w:p w14:paraId="258BA1D9">
            <w:pPr>
              <w:widowControl/>
              <w:spacing w:before="0" w:beforeAutospacing="0" w:after="0" w:afterAutospacing="0" w:line="320" w:lineRule="exact"/>
              <w:ind w:firstLine="0" w:firstLineChars="0"/>
              <w:jc w:val="center"/>
              <w:rPr>
                <w:rFonts w:ascii="仿宋_GB2312" w:hAnsi="宋体" w:eastAsia="仿宋_GB2312" w:cs="宋体"/>
                <w:b/>
                <w:color w:val="000000" w:themeColor="text1"/>
                <w:kern w:val="0"/>
                <w:sz w:val="24"/>
                <w:szCs w:val="24"/>
              </w:rPr>
            </w:pPr>
            <w:r>
              <w:rPr>
                <w:rFonts w:hint="eastAsia" w:ascii="仿宋_GB2312" w:hAnsi="宋体" w:eastAsia="仿宋_GB2312" w:cs="宋体"/>
                <w:b/>
                <w:color w:val="000000" w:themeColor="text1"/>
                <w:kern w:val="0"/>
                <w:sz w:val="24"/>
                <w:szCs w:val="24"/>
              </w:rPr>
              <w:t>指标</w:t>
            </w:r>
          </w:p>
        </w:tc>
        <w:tc>
          <w:tcPr>
            <w:tcW w:w="7088" w:type="dxa"/>
            <w:tcBorders>
              <w:top w:val="single" w:color="auto" w:sz="4" w:space="0"/>
              <w:left w:val="nil"/>
              <w:bottom w:val="single" w:color="auto" w:sz="4" w:space="0"/>
              <w:right w:val="single" w:color="auto" w:sz="4" w:space="0"/>
            </w:tcBorders>
            <w:vAlign w:val="center"/>
          </w:tcPr>
          <w:p w14:paraId="2F8AE773">
            <w:pPr>
              <w:widowControl/>
              <w:spacing w:before="0" w:beforeAutospacing="0" w:after="0" w:afterAutospacing="0" w:line="320" w:lineRule="exact"/>
              <w:ind w:firstLine="0" w:firstLineChars="0"/>
              <w:jc w:val="center"/>
              <w:rPr>
                <w:rFonts w:ascii="仿宋_GB2312" w:hAnsi="宋体" w:eastAsia="仿宋_GB2312" w:cs="宋体"/>
                <w:b/>
                <w:color w:val="000000" w:themeColor="text1"/>
                <w:kern w:val="0"/>
                <w:sz w:val="24"/>
                <w:szCs w:val="24"/>
              </w:rPr>
            </w:pPr>
            <w:r>
              <w:rPr>
                <w:rFonts w:hint="eastAsia" w:ascii="仿宋_GB2312" w:hAnsi="宋体" w:eastAsia="仿宋_GB2312" w:cs="宋体"/>
                <w:b/>
                <w:color w:val="000000" w:themeColor="text1"/>
                <w:kern w:val="0"/>
                <w:sz w:val="24"/>
                <w:szCs w:val="24"/>
              </w:rPr>
              <w:t>三级指标</w:t>
            </w:r>
          </w:p>
        </w:tc>
      </w:tr>
      <w:tr w14:paraId="4EAD7ECB">
        <w:tblPrEx>
          <w:tblCellMar>
            <w:top w:w="0" w:type="dxa"/>
            <w:left w:w="108" w:type="dxa"/>
            <w:bottom w:w="0" w:type="dxa"/>
            <w:right w:w="108" w:type="dxa"/>
          </w:tblCellMar>
        </w:tblPrEx>
        <w:trPr>
          <w:trHeight w:val="699" w:hRule="atLeast"/>
        </w:trPr>
        <w:tc>
          <w:tcPr>
            <w:tcW w:w="722" w:type="dxa"/>
            <w:vMerge w:val="restart"/>
            <w:tcBorders>
              <w:top w:val="nil"/>
              <w:left w:val="single" w:color="auto" w:sz="4" w:space="0"/>
              <w:bottom w:val="single" w:color="auto" w:sz="4" w:space="0"/>
              <w:right w:val="single" w:color="auto" w:sz="4" w:space="0"/>
            </w:tcBorders>
            <w:vAlign w:val="center"/>
          </w:tcPr>
          <w:p w14:paraId="65784462">
            <w:pPr>
              <w:widowControl/>
              <w:spacing w:before="0" w:beforeAutospacing="0" w:after="0" w:afterAutospacing="0" w:line="320" w:lineRule="exact"/>
              <w:ind w:firstLine="0" w:firstLineChars="0"/>
              <w:jc w:val="center"/>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1.</w:t>
            </w:r>
            <w:r>
              <w:rPr>
                <w:rFonts w:hint="eastAsia" w:ascii="仿宋_GB2312" w:hAnsi="宋体" w:eastAsia="仿宋_GB2312" w:cs="宋体"/>
                <w:color w:val="000000" w:themeColor="text1"/>
                <w:kern w:val="0"/>
                <w:sz w:val="24"/>
                <w:szCs w:val="24"/>
              </w:rPr>
              <w:t>道德品行</w:t>
            </w:r>
          </w:p>
        </w:tc>
        <w:tc>
          <w:tcPr>
            <w:tcW w:w="992" w:type="dxa"/>
            <w:vMerge w:val="restart"/>
            <w:tcBorders>
              <w:top w:val="nil"/>
              <w:left w:val="single" w:color="auto" w:sz="4" w:space="0"/>
              <w:bottom w:val="single" w:color="auto" w:sz="4" w:space="0"/>
              <w:right w:val="single" w:color="auto" w:sz="4" w:space="0"/>
            </w:tcBorders>
            <w:vAlign w:val="center"/>
          </w:tcPr>
          <w:p w14:paraId="2E663402">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1.</w:t>
            </w:r>
            <w:r>
              <w:rPr>
                <w:rFonts w:hint="eastAsia" w:ascii="仿宋_GB2312" w:hAnsi="宋体" w:eastAsia="仿宋_GB2312" w:cs="宋体"/>
                <w:color w:val="000000" w:themeColor="text1"/>
                <w:kern w:val="0"/>
                <w:sz w:val="24"/>
                <w:szCs w:val="24"/>
              </w:rPr>
              <w:t>政治品德</w:t>
            </w:r>
          </w:p>
        </w:tc>
        <w:tc>
          <w:tcPr>
            <w:tcW w:w="7088" w:type="dxa"/>
            <w:tcBorders>
              <w:top w:val="nil"/>
              <w:left w:val="nil"/>
              <w:bottom w:val="single" w:color="auto" w:sz="4" w:space="0"/>
              <w:right w:val="single" w:color="auto" w:sz="4" w:space="0"/>
            </w:tcBorders>
            <w:vAlign w:val="center"/>
          </w:tcPr>
          <w:p w14:paraId="53D8E56C">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1.</w:t>
            </w:r>
            <w:r>
              <w:rPr>
                <w:rFonts w:hint="eastAsia" w:ascii="仿宋_GB2312" w:hAnsi="宋体" w:eastAsia="仿宋_GB2312" w:cs="宋体"/>
                <w:color w:val="000000" w:themeColor="text1"/>
                <w:kern w:val="0"/>
                <w:sz w:val="24"/>
                <w:szCs w:val="24"/>
              </w:rPr>
              <w:t>理想信念</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是否具有共产主义远大理想和中国特色社会主义信念，旗帜鲜明，立场坚定，热爱祖国，热爱人民，拥护党的路线方针政策，政治敏锐性和鉴别力强。</w:t>
            </w:r>
          </w:p>
        </w:tc>
      </w:tr>
      <w:tr w14:paraId="51412D69">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2DE6823F">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continue"/>
            <w:tcBorders>
              <w:top w:val="nil"/>
              <w:left w:val="single" w:color="auto" w:sz="4" w:space="0"/>
              <w:bottom w:val="single" w:color="auto" w:sz="4" w:space="0"/>
              <w:right w:val="single" w:color="auto" w:sz="4" w:space="0"/>
            </w:tcBorders>
            <w:vAlign w:val="center"/>
          </w:tcPr>
          <w:p w14:paraId="1AFE598C">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7088" w:type="dxa"/>
            <w:tcBorders>
              <w:top w:val="nil"/>
              <w:left w:val="nil"/>
              <w:bottom w:val="single" w:color="auto" w:sz="4" w:space="0"/>
              <w:right w:val="single" w:color="auto" w:sz="4" w:space="0"/>
            </w:tcBorders>
            <w:vAlign w:val="center"/>
          </w:tcPr>
          <w:p w14:paraId="5BAB39B2">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2.</w:t>
            </w:r>
            <w:r>
              <w:rPr>
                <w:rFonts w:hint="eastAsia" w:ascii="仿宋_GB2312" w:hAnsi="宋体" w:eastAsia="仿宋_GB2312" w:cs="宋体"/>
                <w:color w:val="000000" w:themeColor="text1"/>
                <w:kern w:val="0"/>
                <w:sz w:val="24"/>
                <w:szCs w:val="24"/>
              </w:rPr>
              <w:t>宗旨意识</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是否坚持立党为公、执政为民，忠于党的事业、忠于人民利益，做到权为民所用，情为民所系，利为民所谋。</w:t>
            </w:r>
          </w:p>
        </w:tc>
      </w:tr>
      <w:tr w14:paraId="03D6A416">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44FA19A6">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continue"/>
            <w:tcBorders>
              <w:top w:val="nil"/>
              <w:left w:val="single" w:color="auto" w:sz="4" w:space="0"/>
              <w:bottom w:val="single" w:color="auto" w:sz="4" w:space="0"/>
              <w:right w:val="single" w:color="auto" w:sz="4" w:space="0"/>
            </w:tcBorders>
            <w:vAlign w:val="center"/>
          </w:tcPr>
          <w:p w14:paraId="0BE61501">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7088" w:type="dxa"/>
            <w:tcBorders>
              <w:top w:val="nil"/>
              <w:left w:val="nil"/>
              <w:bottom w:val="single" w:color="auto" w:sz="4" w:space="0"/>
              <w:right w:val="single" w:color="auto" w:sz="4" w:space="0"/>
            </w:tcBorders>
            <w:vAlign w:val="center"/>
          </w:tcPr>
          <w:p w14:paraId="272F4D9A">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3.</w:t>
            </w:r>
            <w:r>
              <w:rPr>
                <w:rFonts w:hint="eastAsia" w:ascii="仿宋_GB2312" w:hAnsi="宋体" w:eastAsia="仿宋_GB2312" w:cs="宋体"/>
                <w:color w:val="000000" w:themeColor="text1"/>
                <w:kern w:val="0"/>
                <w:sz w:val="24"/>
                <w:szCs w:val="24"/>
              </w:rPr>
              <w:t>大局观念</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是否深入贯彻落实习近平新时代社会主义思想，正确认识大局、准确把握大局、坚决服从服务大局，与中央、省委和市委保持一致。</w:t>
            </w:r>
          </w:p>
        </w:tc>
      </w:tr>
      <w:tr w14:paraId="2E8AA0AF">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0CD25BA5">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continue"/>
            <w:tcBorders>
              <w:top w:val="nil"/>
              <w:left w:val="single" w:color="auto" w:sz="4" w:space="0"/>
              <w:bottom w:val="single" w:color="auto" w:sz="4" w:space="0"/>
              <w:right w:val="single" w:color="auto" w:sz="4" w:space="0"/>
            </w:tcBorders>
            <w:vAlign w:val="center"/>
          </w:tcPr>
          <w:p w14:paraId="24C3CCA3">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7088" w:type="dxa"/>
            <w:tcBorders>
              <w:top w:val="nil"/>
              <w:left w:val="nil"/>
              <w:bottom w:val="single" w:color="auto" w:sz="4" w:space="0"/>
              <w:right w:val="single" w:color="auto" w:sz="4" w:space="0"/>
            </w:tcBorders>
            <w:vAlign w:val="center"/>
          </w:tcPr>
          <w:p w14:paraId="0F4E1AF0">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4.</w:t>
            </w:r>
            <w:r>
              <w:rPr>
                <w:rFonts w:hint="eastAsia" w:ascii="仿宋_GB2312" w:hAnsi="宋体" w:eastAsia="仿宋_GB2312" w:cs="宋体"/>
                <w:color w:val="000000" w:themeColor="text1"/>
                <w:kern w:val="0"/>
                <w:sz w:val="24"/>
                <w:szCs w:val="24"/>
              </w:rPr>
              <w:t>民主作风</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是否坚持民主集中制原则，发扬民主，团结协作，具有相互谅解、坦诚相见的气度和闻过则喜、从谏如流的胸襟。</w:t>
            </w:r>
          </w:p>
        </w:tc>
      </w:tr>
      <w:tr w14:paraId="18DD7E35">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2F226EDF">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restart"/>
            <w:tcBorders>
              <w:top w:val="nil"/>
              <w:left w:val="single" w:color="auto" w:sz="4" w:space="0"/>
              <w:bottom w:val="single" w:color="auto" w:sz="4" w:space="0"/>
              <w:right w:val="single" w:color="auto" w:sz="4" w:space="0"/>
            </w:tcBorders>
            <w:vAlign w:val="center"/>
          </w:tcPr>
          <w:p w14:paraId="2A0BFA0D">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2.</w:t>
            </w:r>
            <w:r>
              <w:rPr>
                <w:rFonts w:hint="eastAsia" w:ascii="仿宋_GB2312" w:hAnsi="宋体" w:eastAsia="仿宋_GB2312" w:cs="宋体"/>
                <w:color w:val="000000" w:themeColor="text1"/>
                <w:kern w:val="0"/>
                <w:sz w:val="24"/>
                <w:szCs w:val="24"/>
              </w:rPr>
              <w:t>社会公德</w:t>
            </w:r>
          </w:p>
        </w:tc>
        <w:tc>
          <w:tcPr>
            <w:tcW w:w="7088" w:type="dxa"/>
            <w:tcBorders>
              <w:top w:val="nil"/>
              <w:left w:val="nil"/>
              <w:bottom w:val="single" w:color="auto" w:sz="4" w:space="0"/>
              <w:right w:val="single" w:color="auto" w:sz="4" w:space="0"/>
            </w:tcBorders>
            <w:vAlign w:val="center"/>
          </w:tcPr>
          <w:p w14:paraId="6E9AFCA6">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1.</w:t>
            </w:r>
            <w:r>
              <w:rPr>
                <w:rFonts w:hint="eastAsia" w:ascii="仿宋_GB2312" w:hAnsi="宋体" w:eastAsia="仿宋_GB2312" w:cs="宋体"/>
                <w:color w:val="000000" w:themeColor="text1"/>
                <w:kern w:val="0"/>
                <w:sz w:val="24"/>
                <w:szCs w:val="24"/>
              </w:rPr>
              <w:t>文明程度</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是否树立社会主义荣辱观，充分发挥先锋模范和表率作用，为人师表，举止文明，以高尚的师德、人格魅力和学识风范感染学生。</w:t>
            </w:r>
          </w:p>
        </w:tc>
      </w:tr>
      <w:tr w14:paraId="4B8AA8AF">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6FE0F07D">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continue"/>
            <w:tcBorders>
              <w:top w:val="nil"/>
              <w:left w:val="single" w:color="auto" w:sz="4" w:space="0"/>
              <w:bottom w:val="single" w:color="auto" w:sz="4" w:space="0"/>
              <w:right w:val="single" w:color="auto" w:sz="4" w:space="0"/>
            </w:tcBorders>
            <w:vAlign w:val="center"/>
          </w:tcPr>
          <w:p w14:paraId="3149A911">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7088" w:type="dxa"/>
            <w:tcBorders>
              <w:top w:val="nil"/>
              <w:left w:val="nil"/>
              <w:bottom w:val="single" w:color="auto" w:sz="4" w:space="0"/>
              <w:right w:val="single" w:color="auto" w:sz="4" w:space="0"/>
            </w:tcBorders>
            <w:vAlign w:val="center"/>
          </w:tcPr>
          <w:p w14:paraId="1110A2A4">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2.</w:t>
            </w:r>
            <w:r>
              <w:rPr>
                <w:rFonts w:hint="eastAsia" w:ascii="仿宋_GB2312" w:hAnsi="宋体" w:eastAsia="仿宋_GB2312" w:cs="宋体"/>
                <w:color w:val="000000" w:themeColor="text1"/>
                <w:kern w:val="0"/>
                <w:sz w:val="24"/>
                <w:szCs w:val="24"/>
              </w:rPr>
              <w:t>法纪观念</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是否认真学习并坚决贯彻党和国家制定的各项法律法规，做到令行禁止，依法决策、依法行政、依法办事。</w:t>
            </w:r>
          </w:p>
        </w:tc>
      </w:tr>
      <w:tr w14:paraId="2E2403AF">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0A561952">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continue"/>
            <w:tcBorders>
              <w:top w:val="nil"/>
              <w:left w:val="single" w:color="auto" w:sz="4" w:space="0"/>
              <w:bottom w:val="single" w:color="auto" w:sz="4" w:space="0"/>
              <w:right w:val="single" w:color="auto" w:sz="4" w:space="0"/>
            </w:tcBorders>
            <w:vAlign w:val="center"/>
          </w:tcPr>
          <w:p w14:paraId="4DFF89EF">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7088" w:type="dxa"/>
            <w:tcBorders>
              <w:top w:val="nil"/>
              <w:left w:val="nil"/>
              <w:bottom w:val="single" w:color="auto" w:sz="4" w:space="0"/>
              <w:right w:val="single" w:color="auto" w:sz="4" w:space="0"/>
            </w:tcBorders>
            <w:vAlign w:val="center"/>
          </w:tcPr>
          <w:p w14:paraId="60D2FFE2">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3.</w:t>
            </w:r>
            <w:r>
              <w:rPr>
                <w:rFonts w:hint="eastAsia" w:ascii="仿宋_GB2312" w:hAnsi="宋体" w:eastAsia="仿宋_GB2312" w:cs="宋体"/>
                <w:color w:val="000000" w:themeColor="text1"/>
                <w:kern w:val="0"/>
                <w:sz w:val="24"/>
                <w:szCs w:val="24"/>
              </w:rPr>
              <w:t>公益意识</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是否富有爱心，乐于助人，自觉扶危济困，关注学生，积极参与环保、救助、志愿者服务等社会公益性事业。</w:t>
            </w:r>
          </w:p>
        </w:tc>
      </w:tr>
      <w:tr w14:paraId="6158700E">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28CB373F">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continue"/>
            <w:tcBorders>
              <w:top w:val="nil"/>
              <w:left w:val="single" w:color="auto" w:sz="4" w:space="0"/>
              <w:bottom w:val="single" w:color="auto" w:sz="4" w:space="0"/>
              <w:right w:val="single" w:color="auto" w:sz="4" w:space="0"/>
            </w:tcBorders>
            <w:vAlign w:val="center"/>
          </w:tcPr>
          <w:p w14:paraId="6508FA6D">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7088" w:type="dxa"/>
            <w:tcBorders>
              <w:top w:val="nil"/>
              <w:left w:val="nil"/>
              <w:bottom w:val="single" w:color="auto" w:sz="4" w:space="0"/>
              <w:right w:val="single" w:color="auto" w:sz="4" w:space="0"/>
            </w:tcBorders>
            <w:vAlign w:val="center"/>
          </w:tcPr>
          <w:p w14:paraId="0847DBB8">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4.</w:t>
            </w:r>
            <w:r>
              <w:rPr>
                <w:rFonts w:hint="eastAsia" w:ascii="仿宋_GB2312" w:hAnsi="宋体" w:eastAsia="仿宋_GB2312" w:cs="宋体"/>
                <w:color w:val="000000" w:themeColor="text1"/>
                <w:kern w:val="0"/>
                <w:sz w:val="24"/>
                <w:szCs w:val="24"/>
              </w:rPr>
              <w:t>处世态度</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是否公道正派，诚实守信，求同存异，宽厚待人，在大是大非面前讲政治、讲正气，在日常工作生活中讲信任、讲尊重。</w:t>
            </w:r>
          </w:p>
        </w:tc>
      </w:tr>
      <w:tr w14:paraId="63F6CF95">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4D7F6529">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restart"/>
            <w:tcBorders>
              <w:top w:val="nil"/>
              <w:left w:val="single" w:color="auto" w:sz="4" w:space="0"/>
              <w:bottom w:val="single" w:color="auto" w:sz="4" w:space="0"/>
              <w:right w:val="single" w:color="auto" w:sz="4" w:space="0"/>
            </w:tcBorders>
            <w:vAlign w:val="center"/>
          </w:tcPr>
          <w:p w14:paraId="3026F1A1">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3.</w:t>
            </w:r>
            <w:r>
              <w:rPr>
                <w:rFonts w:hint="eastAsia" w:ascii="仿宋_GB2312" w:hAnsi="宋体" w:eastAsia="仿宋_GB2312" w:cs="宋体"/>
                <w:color w:val="000000" w:themeColor="text1"/>
                <w:kern w:val="0"/>
                <w:sz w:val="24"/>
                <w:szCs w:val="24"/>
              </w:rPr>
              <w:t>职业道德</w:t>
            </w:r>
          </w:p>
        </w:tc>
        <w:tc>
          <w:tcPr>
            <w:tcW w:w="7088" w:type="dxa"/>
            <w:tcBorders>
              <w:top w:val="nil"/>
              <w:left w:val="nil"/>
              <w:bottom w:val="single" w:color="auto" w:sz="4" w:space="0"/>
              <w:right w:val="single" w:color="auto" w:sz="4" w:space="0"/>
            </w:tcBorders>
            <w:vAlign w:val="center"/>
          </w:tcPr>
          <w:p w14:paraId="5D0B5ADB">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1.</w:t>
            </w:r>
            <w:r>
              <w:rPr>
                <w:rFonts w:hint="eastAsia" w:ascii="仿宋_GB2312" w:hAnsi="宋体" w:eastAsia="仿宋_GB2312" w:cs="宋体"/>
                <w:color w:val="000000" w:themeColor="text1"/>
                <w:kern w:val="0"/>
                <w:sz w:val="24"/>
                <w:szCs w:val="24"/>
              </w:rPr>
              <w:t>敬业精神</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是否有强烈的事业心和责任感，爱岗敬业，甘于奉献，忠于职守，履职尽责，能出色并富有创造性地完成各项工作任务。</w:t>
            </w:r>
          </w:p>
        </w:tc>
      </w:tr>
      <w:tr w14:paraId="3189587B">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7C95A311">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continue"/>
            <w:tcBorders>
              <w:top w:val="nil"/>
              <w:left w:val="single" w:color="auto" w:sz="4" w:space="0"/>
              <w:bottom w:val="single" w:color="auto" w:sz="4" w:space="0"/>
              <w:right w:val="single" w:color="auto" w:sz="4" w:space="0"/>
            </w:tcBorders>
            <w:vAlign w:val="center"/>
          </w:tcPr>
          <w:p w14:paraId="74C442CC">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7088" w:type="dxa"/>
            <w:tcBorders>
              <w:top w:val="nil"/>
              <w:left w:val="nil"/>
              <w:bottom w:val="single" w:color="auto" w:sz="4" w:space="0"/>
              <w:right w:val="single" w:color="auto" w:sz="4" w:space="0"/>
            </w:tcBorders>
            <w:vAlign w:val="center"/>
          </w:tcPr>
          <w:p w14:paraId="16884054">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2.</w:t>
            </w:r>
            <w:r>
              <w:rPr>
                <w:rFonts w:hint="eastAsia" w:ascii="仿宋_GB2312" w:hAnsi="宋体" w:eastAsia="仿宋_GB2312" w:cs="宋体"/>
                <w:color w:val="000000" w:themeColor="text1"/>
                <w:kern w:val="0"/>
                <w:sz w:val="24"/>
                <w:szCs w:val="24"/>
              </w:rPr>
              <w:t>权力观念</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是否确立正确的权力观、地位观，增强风险意识，把权力视为责任，做到为师生服务。</w:t>
            </w:r>
          </w:p>
        </w:tc>
      </w:tr>
      <w:tr w14:paraId="18B2277B">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631775EF">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continue"/>
            <w:tcBorders>
              <w:top w:val="nil"/>
              <w:left w:val="single" w:color="auto" w:sz="4" w:space="0"/>
              <w:bottom w:val="single" w:color="auto" w:sz="4" w:space="0"/>
              <w:right w:val="single" w:color="auto" w:sz="4" w:space="0"/>
            </w:tcBorders>
            <w:vAlign w:val="center"/>
          </w:tcPr>
          <w:p w14:paraId="73A43A7B">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7088" w:type="dxa"/>
            <w:tcBorders>
              <w:top w:val="nil"/>
              <w:left w:val="nil"/>
              <w:bottom w:val="single" w:color="auto" w:sz="4" w:space="0"/>
              <w:right w:val="single" w:color="auto" w:sz="4" w:space="0"/>
            </w:tcBorders>
            <w:vAlign w:val="center"/>
          </w:tcPr>
          <w:p w14:paraId="6BE68839">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3.</w:t>
            </w:r>
            <w:r>
              <w:rPr>
                <w:rFonts w:hint="eastAsia" w:ascii="仿宋_GB2312" w:hAnsi="宋体" w:eastAsia="仿宋_GB2312" w:cs="宋体"/>
                <w:color w:val="000000" w:themeColor="text1"/>
                <w:kern w:val="0"/>
                <w:sz w:val="24"/>
                <w:szCs w:val="24"/>
              </w:rPr>
              <w:t>工作作风</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是否坚持解放思想、实事求是、与时俱进的思想路线，深入一线、深入师生，敢抓敢管、敢于负责，务实推进工作落实。</w:t>
            </w:r>
          </w:p>
        </w:tc>
      </w:tr>
      <w:tr w14:paraId="1A9CD1F1">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62A05EA3">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continue"/>
            <w:tcBorders>
              <w:top w:val="nil"/>
              <w:left w:val="single" w:color="auto" w:sz="4" w:space="0"/>
              <w:bottom w:val="single" w:color="auto" w:sz="4" w:space="0"/>
              <w:right w:val="single" w:color="auto" w:sz="4" w:space="0"/>
            </w:tcBorders>
            <w:vAlign w:val="center"/>
          </w:tcPr>
          <w:p w14:paraId="310C4E3B">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7088" w:type="dxa"/>
            <w:tcBorders>
              <w:top w:val="nil"/>
              <w:left w:val="nil"/>
              <w:bottom w:val="single" w:color="auto" w:sz="4" w:space="0"/>
              <w:right w:val="single" w:color="auto" w:sz="4" w:space="0"/>
            </w:tcBorders>
            <w:vAlign w:val="center"/>
          </w:tcPr>
          <w:p w14:paraId="7F53FA92">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4.</w:t>
            </w:r>
            <w:r>
              <w:rPr>
                <w:rFonts w:hint="eastAsia" w:ascii="仿宋_GB2312" w:hAnsi="宋体" w:eastAsia="仿宋_GB2312" w:cs="宋体"/>
                <w:color w:val="000000" w:themeColor="text1"/>
                <w:kern w:val="0"/>
                <w:sz w:val="24"/>
                <w:szCs w:val="24"/>
              </w:rPr>
              <w:t>自律意识</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是否廉洁从业，做到自重、自省、自警、自励，耐得住清贫，抵得住诱惑，守得住小节，清白做人，干净干事。</w:t>
            </w:r>
          </w:p>
        </w:tc>
      </w:tr>
      <w:tr w14:paraId="7CCD4AF1">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6A5A9DF0">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restart"/>
            <w:tcBorders>
              <w:top w:val="single" w:color="auto" w:sz="4" w:space="0"/>
              <w:left w:val="single" w:color="auto" w:sz="4" w:space="0"/>
              <w:bottom w:val="single" w:color="auto" w:sz="4" w:space="0"/>
              <w:right w:val="single" w:color="auto" w:sz="4" w:space="0"/>
            </w:tcBorders>
            <w:vAlign w:val="center"/>
          </w:tcPr>
          <w:p w14:paraId="1DFB7479">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4.</w:t>
            </w:r>
            <w:r>
              <w:rPr>
                <w:rFonts w:hint="eastAsia" w:ascii="仿宋_GB2312" w:hAnsi="宋体" w:eastAsia="仿宋_GB2312" w:cs="宋体"/>
                <w:color w:val="000000" w:themeColor="text1"/>
                <w:kern w:val="0"/>
                <w:sz w:val="24"/>
                <w:szCs w:val="24"/>
              </w:rPr>
              <w:t>家庭美德</w:t>
            </w:r>
          </w:p>
        </w:tc>
        <w:tc>
          <w:tcPr>
            <w:tcW w:w="7088" w:type="dxa"/>
            <w:tcBorders>
              <w:top w:val="single" w:color="auto" w:sz="4" w:space="0"/>
              <w:left w:val="nil"/>
              <w:bottom w:val="single" w:color="auto" w:sz="4" w:space="0"/>
              <w:right w:val="single" w:color="auto" w:sz="4" w:space="0"/>
            </w:tcBorders>
            <w:vAlign w:val="center"/>
          </w:tcPr>
          <w:p w14:paraId="7DC8640F">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1.</w:t>
            </w:r>
            <w:r>
              <w:rPr>
                <w:rFonts w:hint="eastAsia" w:ascii="仿宋_GB2312" w:hAnsi="宋体" w:eastAsia="仿宋_GB2312" w:cs="宋体"/>
                <w:color w:val="000000" w:themeColor="text1"/>
                <w:kern w:val="0"/>
                <w:sz w:val="24"/>
                <w:szCs w:val="24"/>
              </w:rPr>
              <w:t>忠孝状况</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是否忠于家庭，忠于配偶，弘扬尊老爱幼的传统美德，孝敬、善待父母长辈，自觉承担抚养与教育子女的责任。</w:t>
            </w:r>
          </w:p>
        </w:tc>
      </w:tr>
      <w:tr w14:paraId="1A67DF2C">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4B4A0975">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continue"/>
            <w:tcBorders>
              <w:top w:val="nil"/>
              <w:left w:val="single" w:color="auto" w:sz="4" w:space="0"/>
              <w:bottom w:val="single" w:color="auto" w:sz="4" w:space="0"/>
              <w:right w:val="single" w:color="auto" w:sz="4" w:space="0"/>
            </w:tcBorders>
            <w:vAlign w:val="center"/>
          </w:tcPr>
          <w:p w14:paraId="158CB3B3">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7088" w:type="dxa"/>
            <w:tcBorders>
              <w:top w:val="nil"/>
              <w:left w:val="nil"/>
              <w:bottom w:val="single" w:color="auto" w:sz="4" w:space="0"/>
              <w:right w:val="single" w:color="auto" w:sz="4" w:space="0"/>
            </w:tcBorders>
            <w:vAlign w:val="center"/>
          </w:tcPr>
          <w:p w14:paraId="5F4C005E">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2.</w:t>
            </w:r>
            <w:r>
              <w:rPr>
                <w:rFonts w:hint="eastAsia" w:ascii="仿宋_GB2312" w:hAnsi="宋体" w:eastAsia="仿宋_GB2312" w:cs="宋体"/>
                <w:color w:val="000000" w:themeColor="text1"/>
                <w:kern w:val="0"/>
                <w:sz w:val="24"/>
                <w:szCs w:val="24"/>
              </w:rPr>
              <w:t>消费理念</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是否勤俭持家，艰苦创业，倡导低碳绿色生活，节约用水用电，不浪费、不攀比、不张扬，不追求高档享受。</w:t>
            </w:r>
          </w:p>
        </w:tc>
      </w:tr>
      <w:tr w14:paraId="2A15716E">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1EF913DE">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vMerge w:val="continue"/>
            <w:tcBorders>
              <w:top w:val="nil"/>
              <w:left w:val="single" w:color="auto" w:sz="4" w:space="0"/>
              <w:bottom w:val="single" w:color="auto" w:sz="4" w:space="0"/>
              <w:right w:val="single" w:color="auto" w:sz="4" w:space="0"/>
            </w:tcBorders>
            <w:vAlign w:val="center"/>
          </w:tcPr>
          <w:p w14:paraId="0565C9FF">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7088" w:type="dxa"/>
            <w:tcBorders>
              <w:top w:val="nil"/>
              <w:left w:val="nil"/>
              <w:bottom w:val="single" w:color="auto" w:sz="4" w:space="0"/>
              <w:right w:val="single" w:color="auto" w:sz="4" w:space="0"/>
            </w:tcBorders>
            <w:vAlign w:val="center"/>
          </w:tcPr>
          <w:p w14:paraId="54054FFE">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3.</w:t>
            </w:r>
            <w:r>
              <w:rPr>
                <w:rFonts w:hint="eastAsia" w:ascii="仿宋_GB2312" w:hAnsi="宋体" w:eastAsia="仿宋_GB2312" w:cs="宋体"/>
                <w:color w:val="000000" w:themeColor="text1"/>
                <w:kern w:val="0"/>
                <w:sz w:val="24"/>
                <w:szCs w:val="24"/>
              </w:rPr>
              <w:t>邻里关系</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是否正确处理邻里关系，睦邻亲友，与坊邻亲朋相互关心、相互爱护、相互帮助，做到礼让待邻、真诚相处、和谐和睦。</w:t>
            </w:r>
          </w:p>
        </w:tc>
      </w:tr>
      <w:tr w14:paraId="3D797D68">
        <w:tblPrEx>
          <w:tblCellMar>
            <w:top w:w="0" w:type="dxa"/>
            <w:left w:w="108" w:type="dxa"/>
            <w:bottom w:w="0" w:type="dxa"/>
            <w:right w:w="108" w:type="dxa"/>
          </w:tblCellMar>
        </w:tblPrEx>
        <w:trPr>
          <w:trHeight w:val="699" w:hRule="atLeast"/>
        </w:trPr>
        <w:tc>
          <w:tcPr>
            <w:tcW w:w="722" w:type="dxa"/>
            <w:vMerge w:val="restart"/>
            <w:tcBorders>
              <w:top w:val="nil"/>
              <w:left w:val="single" w:color="auto" w:sz="4" w:space="0"/>
              <w:bottom w:val="single" w:color="auto" w:sz="4" w:space="0"/>
              <w:right w:val="single" w:color="auto" w:sz="4" w:space="0"/>
            </w:tcBorders>
            <w:vAlign w:val="center"/>
          </w:tcPr>
          <w:p w14:paraId="2F0F07C8">
            <w:pPr>
              <w:widowControl/>
              <w:spacing w:before="0" w:beforeAutospacing="0" w:after="0" w:afterAutospacing="0" w:line="320" w:lineRule="exact"/>
              <w:ind w:firstLine="0" w:firstLineChars="0"/>
              <w:jc w:val="center"/>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2.</w:t>
            </w:r>
            <w:r>
              <w:rPr>
                <w:rFonts w:hint="eastAsia" w:ascii="仿宋_GB2312" w:hAnsi="宋体" w:eastAsia="仿宋_GB2312" w:cs="宋体"/>
                <w:color w:val="000000" w:themeColor="text1"/>
                <w:kern w:val="0"/>
                <w:sz w:val="24"/>
                <w:szCs w:val="24"/>
              </w:rPr>
              <w:t>职业能力</w:t>
            </w:r>
          </w:p>
        </w:tc>
        <w:tc>
          <w:tcPr>
            <w:tcW w:w="992" w:type="dxa"/>
            <w:tcBorders>
              <w:top w:val="nil"/>
              <w:left w:val="nil"/>
              <w:bottom w:val="single" w:color="auto" w:sz="4" w:space="0"/>
              <w:right w:val="single" w:color="auto" w:sz="4" w:space="0"/>
            </w:tcBorders>
            <w:vAlign w:val="center"/>
          </w:tcPr>
          <w:p w14:paraId="769615E3">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1.</w:t>
            </w:r>
            <w:r>
              <w:rPr>
                <w:rFonts w:hint="eastAsia" w:ascii="仿宋_GB2312" w:hAnsi="宋体" w:eastAsia="仿宋_GB2312" w:cs="宋体"/>
                <w:color w:val="000000" w:themeColor="text1"/>
                <w:kern w:val="0"/>
                <w:sz w:val="24"/>
                <w:szCs w:val="24"/>
              </w:rPr>
              <w:t>业务素质</w:t>
            </w:r>
          </w:p>
        </w:tc>
        <w:tc>
          <w:tcPr>
            <w:tcW w:w="7088" w:type="dxa"/>
            <w:tcBorders>
              <w:top w:val="nil"/>
              <w:left w:val="nil"/>
              <w:bottom w:val="single" w:color="auto" w:sz="4" w:space="0"/>
              <w:right w:val="single" w:color="auto" w:sz="4" w:space="0"/>
            </w:tcBorders>
            <w:vAlign w:val="center"/>
          </w:tcPr>
          <w:p w14:paraId="267DD576">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政策理论水平、专业知识水平以及与所从事工作相适应的业务水平，具有履行岗位职责的业务素质。</w:t>
            </w:r>
          </w:p>
        </w:tc>
      </w:tr>
      <w:tr w14:paraId="7904E5C2">
        <w:tblPrEx>
          <w:tblCellMar>
            <w:top w:w="0" w:type="dxa"/>
            <w:left w:w="108" w:type="dxa"/>
            <w:bottom w:w="0" w:type="dxa"/>
            <w:right w:w="108" w:type="dxa"/>
          </w:tblCellMar>
        </w:tblPrEx>
        <w:trPr>
          <w:trHeight w:val="1239" w:hRule="atLeast"/>
        </w:trPr>
        <w:tc>
          <w:tcPr>
            <w:tcW w:w="722" w:type="dxa"/>
            <w:vMerge w:val="continue"/>
            <w:tcBorders>
              <w:top w:val="nil"/>
              <w:left w:val="single" w:color="auto" w:sz="4" w:space="0"/>
              <w:bottom w:val="single" w:color="auto" w:sz="4" w:space="0"/>
              <w:right w:val="single" w:color="auto" w:sz="4" w:space="0"/>
            </w:tcBorders>
            <w:vAlign w:val="center"/>
          </w:tcPr>
          <w:p w14:paraId="12A8CAE2">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tcBorders>
              <w:top w:val="nil"/>
              <w:left w:val="nil"/>
              <w:bottom w:val="single" w:color="auto" w:sz="4" w:space="0"/>
              <w:right w:val="single" w:color="auto" w:sz="4" w:space="0"/>
            </w:tcBorders>
            <w:vAlign w:val="center"/>
          </w:tcPr>
          <w:p w14:paraId="3DC5AF0A">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2.</w:t>
            </w:r>
            <w:r>
              <w:rPr>
                <w:rFonts w:hint="eastAsia" w:ascii="仿宋_GB2312" w:hAnsi="宋体" w:eastAsia="仿宋_GB2312" w:cs="宋体"/>
                <w:color w:val="000000" w:themeColor="text1"/>
                <w:kern w:val="0"/>
                <w:sz w:val="24"/>
                <w:szCs w:val="24"/>
              </w:rPr>
              <w:t>工作能力</w:t>
            </w:r>
          </w:p>
        </w:tc>
        <w:tc>
          <w:tcPr>
            <w:tcW w:w="7088" w:type="dxa"/>
            <w:tcBorders>
              <w:top w:val="nil"/>
              <w:left w:val="nil"/>
              <w:bottom w:val="single" w:color="auto" w:sz="4" w:space="0"/>
              <w:right w:val="single" w:color="auto" w:sz="4" w:space="0"/>
            </w:tcBorders>
            <w:vAlign w:val="center"/>
          </w:tcPr>
          <w:p w14:paraId="427B2A0D">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运用马克思主义的立场、观点和方法，认识问题、分析问题和解决问题的能力。主要包括</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理解判断能力、规划预测能力、组织协调能力、科学管理能力、服务沟通能力、调研综合能力、团结协作能力、开拓创新能力等，以及能否胜任本职工作。</w:t>
            </w:r>
          </w:p>
        </w:tc>
      </w:tr>
      <w:tr w14:paraId="6A2D5C13">
        <w:tblPrEx>
          <w:tblCellMar>
            <w:top w:w="0" w:type="dxa"/>
            <w:left w:w="108" w:type="dxa"/>
            <w:bottom w:w="0" w:type="dxa"/>
            <w:right w:w="108" w:type="dxa"/>
          </w:tblCellMar>
        </w:tblPrEx>
        <w:trPr>
          <w:trHeight w:val="1015" w:hRule="atLeast"/>
        </w:trPr>
        <w:tc>
          <w:tcPr>
            <w:tcW w:w="722" w:type="dxa"/>
            <w:vMerge w:val="continue"/>
            <w:tcBorders>
              <w:top w:val="nil"/>
              <w:left w:val="single" w:color="auto" w:sz="4" w:space="0"/>
              <w:bottom w:val="single" w:color="auto" w:sz="4" w:space="0"/>
              <w:right w:val="single" w:color="auto" w:sz="4" w:space="0"/>
            </w:tcBorders>
            <w:vAlign w:val="center"/>
          </w:tcPr>
          <w:p w14:paraId="775EB730">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tcBorders>
              <w:top w:val="nil"/>
              <w:left w:val="nil"/>
              <w:bottom w:val="single" w:color="auto" w:sz="4" w:space="0"/>
              <w:right w:val="single" w:color="auto" w:sz="4" w:space="0"/>
            </w:tcBorders>
            <w:vAlign w:val="center"/>
          </w:tcPr>
          <w:p w14:paraId="547478F7">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3.</w:t>
            </w:r>
            <w:r>
              <w:rPr>
                <w:rFonts w:hint="eastAsia" w:ascii="仿宋_GB2312" w:hAnsi="宋体" w:eastAsia="仿宋_GB2312" w:cs="宋体"/>
                <w:color w:val="000000" w:themeColor="text1"/>
                <w:kern w:val="0"/>
                <w:sz w:val="24"/>
                <w:szCs w:val="24"/>
              </w:rPr>
              <w:t>学习能力</w:t>
            </w:r>
          </w:p>
        </w:tc>
        <w:tc>
          <w:tcPr>
            <w:tcW w:w="7088" w:type="dxa"/>
            <w:tcBorders>
              <w:top w:val="nil"/>
              <w:left w:val="nil"/>
              <w:bottom w:val="single" w:color="auto" w:sz="4" w:space="0"/>
              <w:right w:val="single" w:color="auto" w:sz="4" w:space="0"/>
            </w:tcBorders>
            <w:vAlign w:val="center"/>
          </w:tcPr>
          <w:p w14:paraId="3B394DC9">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学习态度、方法及成效，包括平时自学、提高能力和参加组织开展的各类培训的表现情况。不同部门、不同层次、不同岗位的人员，应当具备所履行职责的业务素质和工作、学习能力。</w:t>
            </w:r>
          </w:p>
        </w:tc>
      </w:tr>
      <w:tr w14:paraId="1AF186CE">
        <w:tblPrEx>
          <w:tblCellMar>
            <w:top w:w="0" w:type="dxa"/>
            <w:left w:w="108" w:type="dxa"/>
            <w:bottom w:w="0" w:type="dxa"/>
            <w:right w:w="108" w:type="dxa"/>
          </w:tblCellMar>
        </w:tblPrEx>
        <w:trPr>
          <w:trHeight w:val="699" w:hRule="atLeast"/>
        </w:trPr>
        <w:tc>
          <w:tcPr>
            <w:tcW w:w="722" w:type="dxa"/>
            <w:vMerge w:val="restart"/>
            <w:tcBorders>
              <w:top w:val="nil"/>
              <w:left w:val="single" w:color="auto" w:sz="4" w:space="0"/>
              <w:bottom w:val="single" w:color="auto" w:sz="4" w:space="0"/>
              <w:right w:val="single" w:color="auto" w:sz="4" w:space="0"/>
            </w:tcBorders>
            <w:vAlign w:val="center"/>
          </w:tcPr>
          <w:p w14:paraId="6E6E2EBF">
            <w:pPr>
              <w:widowControl/>
              <w:spacing w:before="0" w:beforeAutospacing="0" w:after="0" w:afterAutospacing="0" w:line="320" w:lineRule="exact"/>
              <w:ind w:firstLine="0" w:firstLineChars="0"/>
              <w:jc w:val="center"/>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3.</w:t>
            </w:r>
            <w:r>
              <w:rPr>
                <w:rFonts w:hint="eastAsia" w:ascii="仿宋_GB2312" w:hAnsi="宋体" w:eastAsia="仿宋_GB2312" w:cs="宋体"/>
                <w:color w:val="000000" w:themeColor="text1"/>
                <w:kern w:val="0"/>
                <w:sz w:val="24"/>
                <w:szCs w:val="24"/>
              </w:rPr>
              <w:t>勤勉敬业</w:t>
            </w:r>
          </w:p>
        </w:tc>
        <w:tc>
          <w:tcPr>
            <w:tcW w:w="992" w:type="dxa"/>
            <w:tcBorders>
              <w:top w:val="nil"/>
              <w:left w:val="nil"/>
              <w:bottom w:val="single" w:color="auto" w:sz="4" w:space="0"/>
              <w:right w:val="single" w:color="auto" w:sz="4" w:space="0"/>
            </w:tcBorders>
            <w:vAlign w:val="center"/>
          </w:tcPr>
          <w:p w14:paraId="79E95D35">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1.</w:t>
            </w:r>
            <w:r>
              <w:rPr>
                <w:rFonts w:hint="eastAsia" w:ascii="仿宋_GB2312" w:hAnsi="宋体" w:eastAsia="仿宋_GB2312" w:cs="宋体"/>
                <w:color w:val="000000" w:themeColor="text1"/>
                <w:kern w:val="0"/>
                <w:sz w:val="24"/>
                <w:szCs w:val="24"/>
              </w:rPr>
              <w:t>工作责任心</w:t>
            </w:r>
          </w:p>
        </w:tc>
        <w:tc>
          <w:tcPr>
            <w:tcW w:w="7088" w:type="dxa"/>
            <w:tcBorders>
              <w:top w:val="nil"/>
              <w:left w:val="nil"/>
              <w:bottom w:val="single" w:color="auto" w:sz="4" w:space="0"/>
              <w:right w:val="single" w:color="auto" w:sz="4" w:space="0"/>
            </w:tcBorders>
          </w:tcPr>
          <w:p w14:paraId="66736298">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是否敬重和热爱本职工作，勤勤恳恳、尽职尽责、甘于奉献。</w:t>
            </w:r>
          </w:p>
        </w:tc>
      </w:tr>
      <w:tr w14:paraId="19A07826">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13E29BE2">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tcBorders>
              <w:top w:val="nil"/>
              <w:left w:val="nil"/>
              <w:bottom w:val="single" w:color="auto" w:sz="4" w:space="0"/>
              <w:right w:val="single" w:color="auto" w:sz="4" w:space="0"/>
            </w:tcBorders>
            <w:vAlign w:val="center"/>
          </w:tcPr>
          <w:p w14:paraId="1AF3777F">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2.</w:t>
            </w:r>
            <w:r>
              <w:rPr>
                <w:rFonts w:hint="eastAsia" w:ascii="仿宋_GB2312" w:hAnsi="宋体" w:eastAsia="仿宋_GB2312" w:cs="宋体"/>
                <w:color w:val="000000" w:themeColor="text1"/>
                <w:kern w:val="0"/>
                <w:sz w:val="24"/>
                <w:szCs w:val="24"/>
              </w:rPr>
              <w:t>工作态度</w:t>
            </w:r>
          </w:p>
        </w:tc>
        <w:tc>
          <w:tcPr>
            <w:tcW w:w="7088" w:type="dxa"/>
            <w:tcBorders>
              <w:top w:val="nil"/>
              <w:left w:val="nil"/>
              <w:bottom w:val="single" w:color="auto" w:sz="4" w:space="0"/>
              <w:right w:val="single" w:color="auto" w:sz="4" w:space="0"/>
            </w:tcBorders>
          </w:tcPr>
          <w:p w14:paraId="0E8B64E4">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工作是否积极主动，认真负责，严谨细致，严格遵守工作纪律。</w:t>
            </w:r>
          </w:p>
        </w:tc>
      </w:tr>
      <w:tr w14:paraId="1FB55BFB">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65D7D5DF">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tcBorders>
              <w:top w:val="nil"/>
              <w:left w:val="nil"/>
              <w:bottom w:val="single" w:color="auto" w:sz="4" w:space="0"/>
              <w:right w:val="single" w:color="auto" w:sz="4" w:space="0"/>
            </w:tcBorders>
            <w:vAlign w:val="center"/>
          </w:tcPr>
          <w:p w14:paraId="7916F781">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3.</w:t>
            </w:r>
            <w:r>
              <w:rPr>
                <w:rFonts w:hint="eastAsia" w:ascii="仿宋_GB2312" w:hAnsi="宋体" w:eastAsia="仿宋_GB2312" w:cs="宋体"/>
                <w:color w:val="000000" w:themeColor="text1"/>
                <w:kern w:val="0"/>
                <w:sz w:val="24"/>
                <w:szCs w:val="24"/>
              </w:rPr>
              <w:t>工作作风</w:t>
            </w:r>
          </w:p>
        </w:tc>
        <w:tc>
          <w:tcPr>
            <w:tcW w:w="7088" w:type="dxa"/>
            <w:tcBorders>
              <w:top w:val="nil"/>
              <w:left w:val="nil"/>
              <w:bottom w:val="single" w:color="auto" w:sz="4" w:space="0"/>
              <w:right w:val="single" w:color="auto" w:sz="4" w:space="0"/>
            </w:tcBorders>
          </w:tcPr>
          <w:p w14:paraId="6A2EDCF8">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是否深入实际，调查研究，尊重师生的首创精神，善于开动脑筋，刻苦钻研业务，精益求精，不断开创工作新局面。</w:t>
            </w:r>
          </w:p>
        </w:tc>
      </w:tr>
      <w:tr w14:paraId="50A41D72">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434020D9">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tcBorders>
              <w:top w:val="nil"/>
              <w:left w:val="nil"/>
              <w:bottom w:val="single" w:color="auto" w:sz="4" w:space="0"/>
              <w:right w:val="single" w:color="auto" w:sz="4" w:space="0"/>
            </w:tcBorders>
            <w:vAlign w:val="center"/>
          </w:tcPr>
          <w:p w14:paraId="7F54EF4E">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4.</w:t>
            </w:r>
            <w:r>
              <w:rPr>
                <w:rFonts w:hint="eastAsia" w:ascii="仿宋_GB2312" w:hAnsi="宋体" w:eastAsia="仿宋_GB2312" w:cs="宋体"/>
                <w:color w:val="000000" w:themeColor="text1"/>
                <w:kern w:val="0"/>
                <w:sz w:val="24"/>
                <w:szCs w:val="24"/>
              </w:rPr>
              <w:t>出勤情况</w:t>
            </w:r>
          </w:p>
        </w:tc>
        <w:tc>
          <w:tcPr>
            <w:tcW w:w="7088" w:type="dxa"/>
            <w:tcBorders>
              <w:top w:val="nil"/>
              <w:left w:val="nil"/>
              <w:bottom w:val="single" w:color="auto" w:sz="4" w:space="0"/>
              <w:right w:val="single" w:color="auto" w:sz="4" w:space="0"/>
            </w:tcBorders>
          </w:tcPr>
          <w:p w14:paraId="29BCEE57">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是否遵守工作纪律，有无迟到、早退、旷工等现象发生。</w:t>
            </w:r>
          </w:p>
        </w:tc>
      </w:tr>
      <w:tr w14:paraId="0A023CA3">
        <w:tblPrEx>
          <w:tblCellMar>
            <w:top w:w="0" w:type="dxa"/>
            <w:left w:w="108" w:type="dxa"/>
            <w:bottom w:w="0" w:type="dxa"/>
            <w:right w:w="108" w:type="dxa"/>
          </w:tblCellMar>
        </w:tblPrEx>
        <w:trPr>
          <w:trHeight w:val="699" w:hRule="atLeast"/>
        </w:trPr>
        <w:tc>
          <w:tcPr>
            <w:tcW w:w="722" w:type="dxa"/>
            <w:vMerge w:val="restart"/>
            <w:tcBorders>
              <w:top w:val="nil"/>
              <w:left w:val="single" w:color="auto" w:sz="4" w:space="0"/>
              <w:bottom w:val="single" w:color="auto" w:sz="4" w:space="0"/>
              <w:right w:val="single" w:color="auto" w:sz="4" w:space="0"/>
            </w:tcBorders>
            <w:vAlign w:val="center"/>
          </w:tcPr>
          <w:p w14:paraId="1456D7C4">
            <w:pPr>
              <w:widowControl/>
              <w:spacing w:before="0" w:beforeAutospacing="0" w:after="0" w:afterAutospacing="0" w:line="320" w:lineRule="exact"/>
              <w:ind w:firstLine="0" w:firstLineChars="0"/>
              <w:jc w:val="center"/>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4.</w:t>
            </w:r>
            <w:r>
              <w:rPr>
                <w:rFonts w:hint="eastAsia" w:ascii="仿宋_GB2312" w:hAnsi="宋体" w:eastAsia="仿宋_GB2312" w:cs="宋体"/>
                <w:color w:val="000000" w:themeColor="text1"/>
                <w:kern w:val="0"/>
                <w:sz w:val="24"/>
                <w:szCs w:val="24"/>
              </w:rPr>
              <w:t>工作实绩</w:t>
            </w:r>
          </w:p>
        </w:tc>
        <w:tc>
          <w:tcPr>
            <w:tcW w:w="992" w:type="dxa"/>
            <w:tcBorders>
              <w:top w:val="nil"/>
              <w:left w:val="nil"/>
              <w:bottom w:val="single" w:color="auto" w:sz="4" w:space="0"/>
              <w:right w:val="single" w:color="auto" w:sz="4" w:space="0"/>
            </w:tcBorders>
            <w:vAlign w:val="center"/>
          </w:tcPr>
          <w:p w14:paraId="392330C6">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1.</w:t>
            </w:r>
            <w:r>
              <w:rPr>
                <w:rFonts w:hint="eastAsia" w:ascii="仿宋_GB2312" w:hAnsi="宋体" w:eastAsia="仿宋_GB2312" w:cs="宋体"/>
                <w:color w:val="000000" w:themeColor="text1"/>
                <w:kern w:val="0"/>
                <w:sz w:val="24"/>
                <w:szCs w:val="24"/>
              </w:rPr>
              <w:t>思路与措施</w:t>
            </w:r>
          </w:p>
        </w:tc>
        <w:tc>
          <w:tcPr>
            <w:tcW w:w="7088" w:type="dxa"/>
            <w:tcBorders>
              <w:top w:val="nil"/>
              <w:left w:val="nil"/>
              <w:bottom w:val="single" w:color="auto" w:sz="4" w:space="0"/>
              <w:right w:val="single" w:color="auto" w:sz="4" w:space="0"/>
            </w:tcBorders>
          </w:tcPr>
          <w:p w14:paraId="1DFAF0EC">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在完成目标任务和履行岗位职责过程中，提出的工作思路和采取的措施是否科学合理。</w:t>
            </w:r>
          </w:p>
        </w:tc>
      </w:tr>
      <w:tr w14:paraId="4C198B4C">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10D873DC">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tcBorders>
              <w:top w:val="nil"/>
              <w:left w:val="nil"/>
              <w:bottom w:val="single" w:color="auto" w:sz="4" w:space="0"/>
              <w:right w:val="single" w:color="auto" w:sz="4" w:space="0"/>
            </w:tcBorders>
            <w:vAlign w:val="center"/>
          </w:tcPr>
          <w:p w14:paraId="20656363">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2.</w:t>
            </w:r>
            <w:r>
              <w:rPr>
                <w:rFonts w:hint="eastAsia" w:ascii="仿宋_GB2312" w:hAnsi="宋体" w:eastAsia="仿宋_GB2312" w:cs="宋体"/>
                <w:color w:val="000000" w:themeColor="text1"/>
                <w:kern w:val="0"/>
                <w:sz w:val="24"/>
                <w:szCs w:val="24"/>
              </w:rPr>
              <w:t>数量与质量</w:t>
            </w:r>
          </w:p>
        </w:tc>
        <w:tc>
          <w:tcPr>
            <w:tcW w:w="7088" w:type="dxa"/>
            <w:tcBorders>
              <w:top w:val="nil"/>
              <w:left w:val="nil"/>
              <w:bottom w:val="single" w:color="auto" w:sz="4" w:space="0"/>
              <w:right w:val="single" w:color="auto" w:sz="4" w:space="0"/>
            </w:tcBorders>
          </w:tcPr>
          <w:p w14:paraId="7C64654B">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是否按时、按质、按量完成或超额完成工作任务（教学、科研、实验室建设、专业建设、青年教师培养等）。</w:t>
            </w:r>
          </w:p>
        </w:tc>
      </w:tr>
      <w:tr w14:paraId="51289873">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618263A6">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tcBorders>
              <w:top w:val="nil"/>
              <w:left w:val="nil"/>
              <w:bottom w:val="single" w:color="auto" w:sz="4" w:space="0"/>
              <w:right w:val="single" w:color="auto" w:sz="4" w:space="0"/>
            </w:tcBorders>
            <w:vAlign w:val="center"/>
          </w:tcPr>
          <w:p w14:paraId="6D92E47F">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3.</w:t>
            </w:r>
            <w:r>
              <w:rPr>
                <w:rFonts w:hint="eastAsia" w:ascii="仿宋_GB2312" w:hAnsi="宋体" w:eastAsia="仿宋_GB2312" w:cs="宋体"/>
                <w:color w:val="000000" w:themeColor="text1"/>
                <w:kern w:val="0"/>
                <w:sz w:val="24"/>
                <w:szCs w:val="24"/>
              </w:rPr>
              <w:t>效率与效益</w:t>
            </w:r>
          </w:p>
        </w:tc>
        <w:tc>
          <w:tcPr>
            <w:tcW w:w="7088" w:type="dxa"/>
            <w:tcBorders>
              <w:top w:val="nil"/>
              <w:left w:val="nil"/>
              <w:bottom w:val="single" w:color="auto" w:sz="4" w:space="0"/>
              <w:right w:val="single" w:color="auto" w:sz="4" w:space="0"/>
            </w:tcBorders>
          </w:tcPr>
          <w:p w14:paraId="562202C7">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办事效率如何，工作是否取得明显的成效，有没有突出的贡献。</w:t>
            </w:r>
          </w:p>
        </w:tc>
      </w:tr>
      <w:tr w14:paraId="5A342D0F">
        <w:tblPrEx>
          <w:tblCellMar>
            <w:top w:w="0" w:type="dxa"/>
            <w:left w:w="108" w:type="dxa"/>
            <w:bottom w:w="0" w:type="dxa"/>
            <w:right w:w="108" w:type="dxa"/>
          </w:tblCellMar>
        </w:tblPrEx>
        <w:trPr>
          <w:trHeight w:val="699" w:hRule="atLeast"/>
        </w:trPr>
        <w:tc>
          <w:tcPr>
            <w:tcW w:w="722" w:type="dxa"/>
            <w:vMerge w:val="restart"/>
            <w:tcBorders>
              <w:top w:val="nil"/>
              <w:left w:val="single" w:color="auto" w:sz="4" w:space="0"/>
              <w:bottom w:val="single" w:color="auto" w:sz="4" w:space="0"/>
              <w:right w:val="single" w:color="auto" w:sz="4" w:space="0"/>
            </w:tcBorders>
            <w:vAlign w:val="center"/>
          </w:tcPr>
          <w:p w14:paraId="6B61C2C2">
            <w:pPr>
              <w:widowControl/>
              <w:spacing w:before="0" w:beforeAutospacing="0" w:after="0" w:afterAutospacing="0" w:line="320" w:lineRule="exact"/>
              <w:ind w:firstLine="0" w:firstLineChars="0"/>
              <w:jc w:val="center"/>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5.</w:t>
            </w:r>
            <w:r>
              <w:rPr>
                <w:rFonts w:hint="eastAsia" w:ascii="仿宋_GB2312" w:hAnsi="宋体" w:eastAsia="仿宋_GB2312" w:cs="宋体"/>
                <w:color w:val="000000" w:themeColor="text1"/>
                <w:kern w:val="0"/>
                <w:sz w:val="24"/>
                <w:szCs w:val="24"/>
              </w:rPr>
              <w:t>清正廉洁</w:t>
            </w:r>
          </w:p>
        </w:tc>
        <w:tc>
          <w:tcPr>
            <w:tcW w:w="992" w:type="dxa"/>
            <w:tcBorders>
              <w:top w:val="nil"/>
              <w:left w:val="nil"/>
              <w:bottom w:val="single" w:color="auto" w:sz="4" w:space="0"/>
              <w:right w:val="single" w:color="auto" w:sz="4" w:space="0"/>
            </w:tcBorders>
            <w:vAlign w:val="center"/>
          </w:tcPr>
          <w:p w14:paraId="0E292EC1">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1.</w:t>
            </w:r>
            <w:r>
              <w:rPr>
                <w:rFonts w:hint="eastAsia" w:ascii="仿宋_GB2312" w:hAnsi="宋体" w:eastAsia="仿宋_GB2312" w:cs="宋体"/>
                <w:color w:val="000000" w:themeColor="text1"/>
                <w:kern w:val="0"/>
                <w:sz w:val="24"/>
                <w:szCs w:val="24"/>
              </w:rPr>
              <w:t>廉洁奉公</w:t>
            </w:r>
          </w:p>
        </w:tc>
        <w:tc>
          <w:tcPr>
            <w:tcW w:w="7088" w:type="dxa"/>
            <w:tcBorders>
              <w:top w:val="nil"/>
              <w:left w:val="nil"/>
              <w:bottom w:val="single" w:color="auto" w:sz="4" w:space="0"/>
              <w:right w:val="single" w:color="auto" w:sz="4" w:space="0"/>
            </w:tcBorders>
          </w:tcPr>
          <w:p w14:paraId="78910F90">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是否廉洁奉公，忠于职守，有无利用职权和职务上的影响谋取不正当利益的行为</w:t>
            </w:r>
            <w:r>
              <w:rPr>
                <w:rFonts w:ascii="仿宋_GB2312" w:hAnsi="宋体" w:eastAsia="仿宋_GB2312" w:cs="宋体"/>
                <w:color w:val="000000" w:themeColor="text1"/>
                <w:kern w:val="0"/>
                <w:sz w:val="24"/>
                <w:szCs w:val="24"/>
              </w:rPr>
              <w:t>;</w:t>
            </w:r>
            <w:r>
              <w:rPr>
                <w:rFonts w:hint="eastAsia" w:ascii="仿宋_GB2312" w:hAnsi="宋体" w:eastAsia="仿宋_GB2312" w:cs="宋体"/>
                <w:color w:val="000000" w:themeColor="text1"/>
                <w:kern w:val="0"/>
                <w:sz w:val="24"/>
                <w:szCs w:val="24"/>
              </w:rPr>
              <w:t>是否严格遵守财务管理的规定，有无假公济私、化公为私行为。</w:t>
            </w:r>
          </w:p>
        </w:tc>
      </w:tr>
      <w:tr w14:paraId="562593F3">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36FCB2E9">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tcBorders>
              <w:top w:val="nil"/>
              <w:left w:val="nil"/>
              <w:bottom w:val="single" w:color="auto" w:sz="4" w:space="0"/>
              <w:right w:val="single" w:color="auto" w:sz="4" w:space="0"/>
            </w:tcBorders>
            <w:vAlign w:val="center"/>
          </w:tcPr>
          <w:p w14:paraId="374B0485">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2.</w:t>
            </w:r>
            <w:r>
              <w:rPr>
                <w:rFonts w:hint="eastAsia" w:ascii="仿宋_GB2312" w:hAnsi="宋体" w:eastAsia="仿宋_GB2312" w:cs="宋体"/>
                <w:color w:val="000000" w:themeColor="text1"/>
                <w:kern w:val="0"/>
                <w:sz w:val="24"/>
                <w:szCs w:val="24"/>
              </w:rPr>
              <w:t>勤俭节约</w:t>
            </w:r>
          </w:p>
        </w:tc>
        <w:tc>
          <w:tcPr>
            <w:tcW w:w="7088" w:type="dxa"/>
            <w:tcBorders>
              <w:top w:val="nil"/>
              <w:left w:val="nil"/>
              <w:bottom w:val="single" w:color="auto" w:sz="4" w:space="0"/>
              <w:right w:val="single" w:color="auto" w:sz="4" w:space="0"/>
            </w:tcBorders>
          </w:tcPr>
          <w:p w14:paraId="56A77CE6">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是否艰苦奋斗，勤俭节约，有无讲排场、比阔气、挥霍公款、铺张浪费的行为。</w:t>
            </w:r>
          </w:p>
        </w:tc>
      </w:tr>
      <w:tr w14:paraId="12523EDA">
        <w:tblPrEx>
          <w:tblCellMar>
            <w:top w:w="0" w:type="dxa"/>
            <w:left w:w="108" w:type="dxa"/>
            <w:bottom w:w="0" w:type="dxa"/>
            <w:right w:w="108" w:type="dxa"/>
          </w:tblCellMar>
        </w:tblPrEx>
        <w:trPr>
          <w:trHeight w:val="699" w:hRule="atLeast"/>
        </w:trPr>
        <w:tc>
          <w:tcPr>
            <w:tcW w:w="722" w:type="dxa"/>
            <w:vMerge w:val="continue"/>
            <w:tcBorders>
              <w:top w:val="nil"/>
              <w:left w:val="single" w:color="auto" w:sz="4" w:space="0"/>
              <w:bottom w:val="single" w:color="auto" w:sz="4" w:space="0"/>
              <w:right w:val="single" w:color="auto" w:sz="4" w:space="0"/>
            </w:tcBorders>
            <w:vAlign w:val="center"/>
          </w:tcPr>
          <w:p w14:paraId="75187B40">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p>
        </w:tc>
        <w:tc>
          <w:tcPr>
            <w:tcW w:w="992" w:type="dxa"/>
            <w:tcBorders>
              <w:top w:val="nil"/>
              <w:left w:val="nil"/>
              <w:bottom w:val="single" w:color="auto" w:sz="4" w:space="0"/>
              <w:right w:val="single" w:color="auto" w:sz="4" w:space="0"/>
            </w:tcBorders>
            <w:vAlign w:val="center"/>
          </w:tcPr>
          <w:p w14:paraId="763C6821">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ascii="仿宋_GB2312" w:hAnsi="宋体" w:eastAsia="仿宋_GB2312" w:cs="宋体"/>
                <w:color w:val="000000" w:themeColor="text1"/>
                <w:kern w:val="0"/>
                <w:sz w:val="24"/>
                <w:szCs w:val="24"/>
              </w:rPr>
              <w:t>3.</w:t>
            </w:r>
            <w:r>
              <w:rPr>
                <w:rFonts w:hint="eastAsia" w:ascii="仿宋_GB2312" w:hAnsi="宋体" w:eastAsia="仿宋_GB2312" w:cs="宋体"/>
                <w:color w:val="000000" w:themeColor="text1"/>
                <w:kern w:val="0"/>
                <w:sz w:val="24"/>
                <w:szCs w:val="24"/>
              </w:rPr>
              <w:t>廉洁自律</w:t>
            </w:r>
          </w:p>
        </w:tc>
        <w:tc>
          <w:tcPr>
            <w:tcW w:w="7088" w:type="dxa"/>
            <w:tcBorders>
              <w:top w:val="nil"/>
              <w:left w:val="nil"/>
              <w:bottom w:val="single" w:color="auto" w:sz="4" w:space="0"/>
              <w:right w:val="single" w:color="auto" w:sz="4" w:space="0"/>
            </w:tcBorders>
          </w:tcPr>
          <w:p w14:paraId="4CCC75FE">
            <w:pPr>
              <w:widowControl/>
              <w:spacing w:before="0" w:beforeAutospacing="0" w:after="0" w:afterAutospacing="0" w:line="320" w:lineRule="exact"/>
              <w:ind w:firstLine="0" w:firstLineChars="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是否严格遵守党和国家廉洁从业的有关规定。</w:t>
            </w:r>
          </w:p>
        </w:tc>
      </w:tr>
    </w:tbl>
    <w:p w14:paraId="16462A12">
      <w:pPr>
        <w:spacing w:before="0" w:beforeAutospacing="0" w:after="0" w:afterAutospacing="0" w:line="560" w:lineRule="exact"/>
        <w:ind w:firstLine="0" w:firstLineChars="0"/>
        <w:rPr>
          <w:rFonts w:ascii="仿宋_GB2312" w:eastAsia="仿宋_GB2312"/>
          <w:color w:val="000000" w:themeColor="text1"/>
          <w:sz w:val="28"/>
          <w:szCs w:val="28"/>
        </w:rPr>
      </w:pPr>
      <w:r>
        <w:rPr>
          <w:rFonts w:hint="eastAsia" w:ascii="仿宋_GB2312" w:eastAsia="仿宋_GB2312"/>
          <w:color w:val="000000" w:themeColor="text1"/>
          <w:sz w:val="28"/>
          <w:szCs w:val="28"/>
        </w:rPr>
        <w:t>附件二：</w:t>
      </w:r>
    </w:p>
    <w:p w14:paraId="0AA489C3">
      <w:pPr>
        <w:spacing w:before="0" w:beforeAutospacing="0" w:after="0" w:afterAutospacing="0" w:line="560" w:lineRule="exact"/>
        <w:ind w:firstLine="712"/>
        <w:jc w:val="center"/>
        <w:rPr>
          <w:rFonts w:ascii="方正小标宋简体" w:eastAsia="方正小标宋简体"/>
          <w:color w:val="000000" w:themeColor="text1"/>
          <w:sz w:val="36"/>
          <w:szCs w:val="36"/>
        </w:rPr>
      </w:pPr>
      <w:r>
        <w:rPr>
          <w:rFonts w:hint="eastAsia" w:ascii="方正小标宋简体" w:eastAsia="方正小标宋简体"/>
          <w:color w:val="000000" w:themeColor="text1"/>
          <w:sz w:val="36"/>
          <w:szCs w:val="36"/>
        </w:rPr>
        <w:t>教职工平时考核登记表</w:t>
      </w:r>
    </w:p>
    <w:p w14:paraId="10C50B07">
      <w:pPr>
        <w:spacing w:before="0" w:beforeAutospacing="0" w:after="0" w:afterAutospacing="0" w:line="560" w:lineRule="exact"/>
        <w:ind w:firstLine="472"/>
        <w:jc w:val="center"/>
        <w:rPr>
          <w:rFonts w:ascii="仿宋_GB2312" w:eastAsia="仿宋_GB2312"/>
          <w:color w:val="000000" w:themeColor="text1"/>
          <w:sz w:val="24"/>
          <w:szCs w:val="24"/>
        </w:rPr>
      </w:pPr>
      <w:r>
        <w:rPr>
          <w:rFonts w:hint="eastAsia" w:ascii="仿宋_GB2312" w:eastAsia="仿宋_GB2312"/>
          <w:color w:val="000000" w:themeColor="text1"/>
          <w:sz w:val="24"/>
          <w:szCs w:val="24"/>
        </w:rPr>
        <w:t>（</w:t>
      </w:r>
      <w:r>
        <w:rPr>
          <w:rFonts w:ascii="仿宋_GB2312" w:eastAsia="仿宋_GB2312"/>
          <w:color w:val="000000" w:themeColor="text1"/>
          <w:sz w:val="24"/>
          <w:szCs w:val="24"/>
          <w:u w:val="single"/>
        </w:rPr>
        <w:t xml:space="preserve">    </w:t>
      </w:r>
      <w:r>
        <w:rPr>
          <w:rFonts w:hint="eastAsia" w:ascii="仿宋_GB2312" w:eastAsia="仿宋_GB2312"/>
          <w:color w:val="000000" w:themeColor="text1"/>
          <w:sz w:val="24"/>
          <w:szCs w:val="24"/>
        </w:rPr>
        <w:t>年</w:t>
      </w:r>
      <w:r>
        <w:rPr>
          <w:rFonts w:ascii="仿宋_GB2312" w:eastAsia="仿宋_GB2312"/>
          <w:color w:val="000000" w:themeColor="text1"/>
          <w:sz w:val="24"/>
          <w:szCs w:val="24"/>
          <w:u w:val="single"/>
        </w:rPr>
        <w:t xml:space="preserve">    </w:t>
      </w:r>
      <w:r>
        <w:rPr>
          <w:rFonts w:hint="eastAsia" w:ascii="仿宋_GB2312" w:eastAsia="仿宋_GB2312"/>
          <w:color w:val="000000" w:themeColor="text1"/>
          <w:sz w:val="24"/>
          <w:szCs w:val="24"/>
        </w:rPr>
        <w:t>月）</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418"/>
        <w:gridCol w:w="850"/>
        <w:gridCol w:w="1843"/>
        <w:gridCol w:w="1753"/>
        <w:gridCol w:w="1812"/>
      </w:tblGrid>
      <w:tr w14:paraId="1BF5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384" w:type="dxa"/>
            <w:vAlign w:val="center"/>
          </w:tcPr>
          <w:p w14:paraId="4E8F6731">
            <w:pPr>
              <w:spacing w:line="400" w:lineRule="exact"/>
              <w:ind w:firstLine="0" w:firstLineChars="0"/>
              <w:jc w:val="center"/>
              <w:rPr>
                <w:rFonts w:ascii="仿宋_GB2312" w:eastAsia="仿宋_GB2312"/>
                <w:color w:val="000000" w:themeColor="text1"/>
                <w:sz w:val="24"/>
                <w:szCs w:val="24"/>
              </w:rPr>
            </w:pPr>
            <w:r>
              <w:rPr>
                <w:rFonts w:hint="eastAsia" w:ascii="仿宋_GB2312" w:eastAsia="仿宋_GB2312"/>
                <w:color w:val="000000" w:themeColor="text1"/>
                <w:sz w:val="24"/>
                <w:szCs w:val="24"/>
              </w:rPr>
              <w:t>姓名</w:t>
            </w:r>
          </w:p>
        </w:tc>
        <w:tc>
          <w:tcPr>
            <w:tcW w:w="1418" w:type="dxa"/>
            <w:vAlign w:val="center"/>
          </w:tcPr>
          <w:p w14:paraId="4A936957">
            <w:pPr>
              <w:spacing w:line="400" w:lineRule="exact"/>
              <w:ind w:firstLine="0" w:firstLineChars="0"/>
              <w:jc w:val="center"/>
              <w:rPr>
                <w:rFonts w:ascii="仿宋_GB2312" w:eastAsia="仿宋_GB2312"/>
                <w:color w:val="000000" w:themeColor="text1"/>
                <w:sz w:val="24"/>
                <w:szCs w:val="24"/>
              </w:rPr>
            </w:pPr>
          </w:p>
        </w:tc>
        <w:tc>
          <w:tcPr>
            <w:tcW w:w="850" w:type="dxa"/>
            <w:vAlign w:val="center"/>
          </w:tcPr>
          <w:p w14:paraId="496CB614">
            <w:pPr>
              <w:spacing w:line="400" w:lineRule="exact"/>
              <w:ind w:firstLine="0" w:firstLineChars="0"/>
              <w:jc w:val="center"/>
              <w:rPr>
                <w:rFonts w:ascii="仿宋_GB2312" w:eastAsia="仿宋_GB2312"/>
                <w:color w:val="000000" w:themeColor="text1"/>
                <w:sz w:val="24"/>
                <w:szCs w:val="24"/>
              </w:rPr>
            </w:pPr>
            <w:r>
              <w:rPr>
                <w:rFonts w:hint="eastAsia" w:ascii="仿宋_GB2312" w:eastAsia="仿宋_GB2312"/>
                <w:color w:val="000000" w:themeColor="text1"/>
                <w:sz w:val="24"/>
                <w:szCs w:val="24"/>
              </w:rPr>
              <w:t>单位</w:t>
            </w:r>
          </w:p>
        </w:tc>
        <w:tc>
          <w:tcPr>
            <w:tcW w:w="1843" w:type="dxa"/>
            <w:vAlign w:val="center"/>
          </w:tcPr>
          <w:p w14:paraId="2077A365">
            <w:pPr>
              <w:spacing w:line="400" w:lineRule="exact"/>
              <w:ind w:firstLine="0" w:firstLineChars="0"/>
              <w:jc w:val="center"/>
              <w:rPr>
                <w:rFonts w:ascii="仿宋_GB2312" w:eastAsia="仿宋_GB2312"/>
                <w:color w:val="000000" w:themeColor="text1"/>
                <w:sz w:val="24"/>
                <w:szCs w:val="24"/>
              </w:rPr>
            </w:pPr>
          </w:p>
        </w:tc>
        <w:tc>
          <w:tcPr>
            <w:tcW w:w="1753" w:type="dxa"/>
            <w:vAlign w:val="center"/>
          </w:tcPr>
          <w:p w14:paraId="283C2C41">
            <w:pPr>
              <w:spacing w:line="400" w:lineRule="exact"/>
              <w:ind w:firstLine="0" w:firstLineChars="0"/>
              <w:jc w:val="center"/>
              <w:rPr>
                <w:rFonts w:ascii="仿宋_GB2312" w:eastAsia="仿宋_GB2312"/>
                <w:color w:val="000000" w:themeColor="text1"/>
                <w:sz w:val="24"/>
                <w:szCs w:val="24"/>
              </w:rPr>
            </w:pPr>
            <w:r>
              <w:rPr>
                <w:rFonts w:hint="eastAsia" w:ascii="仿宋_GB2312" w:eastAsia="仿宋_GB2312"/>
                <w:color w:val="000000" w:themeColor="text1"/>
                <w:sz w:val="24"/>
                <w:szCs w:val="24"/>
              </w:rPr>
              <w:t>职称（职务）</w:t>
            </w:r>
          </w:p>
        </w:tc>
        <w:tc>
          <w:tcPr>
            <w:tcW w:w="1812" w:type="dxa"/>
            <w:vAlign w:val="center"/>
          </w:tcPr>
          <w:p w14:paraId="239BBDA0">
            <w:pPr>
              <w:spacing w:line="400" w:lineRule="exact"/>
              <w:ind w:firstLine="0" w:firstLineChars="0"/>
              <w:jc w:val="center"/>
              <w:rPr>
                <w:rFonts w:ascii="仿宋_GB2312" w:eastAsia="仿宋_GB2312"/>
                <w:color w:val="000000" w:themeColor="text1"/>
                <w:sz w:val="24"/>
                <w:szCs w:val="24"/>
              </w:rPr>
            </w:pPr>
          </w:p>
        </w:tc>
      </w:tr>
      <w:tr w14:paraId="6C03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9" w:hRule="atLeast"/>
          <w:jc w:val="center"/>
        </w:trPr>
        <w:tc>
          <w:tcPr>
            <w:tcW w:w="1384" w:type="dxa"/>
            <w:vAlign w:val="center"/>
          </w:tcPr>
          <w:p w14:paraId="194B3F4F">
            <w:pPr>
              <w:spacing w:line="400" w:lineRule="exact"/>
              <w:ind w:firstLine="0" w:firstLineChars="0"/>
              <w:jc w:val="center"/>
              <w:rPr>
                <w:rFonts w:ascii="仿宋_GB2312" w:eastAsia="仿宋_GB2312"/>
                <w:color w:val="000000" w:themeColor="text1"/>
                <w:sz w:val="24"/>
                <w:szCs w:val="24"/>
              </w:rPr>
            </w:pPr>
            <w:r>
              <w:rPr>
                <w:rFonts w:hint="eastAsia" w:ascii="仿宋_GB2312" w:eastAsia="仿宋_GB2312"/>
                <w:color w:val="000000" w:themeColor="text1"/>
                <w:sz w:val="24"/>
                <w:szCs w:val="24"/>
              </w:rPr>
              <w:t>个人工作小结（完成的主要工作数量及成效）</w:t>
            </w:r>
          </w:p>
        </w:tc>
        <w:tc>
          <w:tcPr>
            <w:tcW w:w="7676" w:type="dxa"/>
            <w:gridSpan w:val="5"/>
            <w:vAlign w:val="center"/>
          </w:tcPr>
          <w:p w14:paraId="218BF5B7">
            <w:pPr>
              <w:spacing w:line="400" w:lineRule="exact"/>
              <w:ind w:firstLine="0" w:firstLineChars="0"/>
              <w:jc w:val="center"/>
              <w:rPr>
                <w:rFonts w:ascii="仿宋_GB2312" w:eastAsia="仿宋_GB2312"/>
                <w:color w:val="000000" w:themeColor="text1"/>
                <w:sz w:val="24"/>
                <w:szCs w:val="24"/>
              </w:rPr>
            </w:pPr>
          </w:p>
          <w:p w14:paraId="21A5B288">
            <w:pPr>
              <w:spacing w:line="400" w:lineRule="exact"/>
              <w:ind w:firstLine="0" w:firstLineChars="0"/>
              <w:jc w:val="center"/>
              <w:rPr>
                <w:rFonts w:ascii="仿宋_GB2312" w:eastAsia="仿宋_GB2312"/>
                <w:color w:val="000000" w:themeColor="text1"/>
                <w:sz w:val="24"/>
                <w:szCs w:val="24"/>
              </w:rPr>
            </w:pPr>
          </w:p>
          <w:p w14:paraId="29B96759">
            <w:pPr>
              <w:spacing w:line="400" w:lineRule="exact"/>
              <w:ind w:firstLine="0" w:firstLineChars="0"/>
              <w:jc w:val="center"/>
              <w:rPr>
                <w:rFonts w:ascii="仿宋_GB2312" w:eastAsia="仿宋_GB2312"/>
                <w:color w:val="000000" w:themeColor="text1"/>
                <w:sz w:val="24"/>
                <w:szCs w:val="24"/>
              </w:rPr>
            </w:pPr>
          </w:p>
          <w:p w14:paraId="5A92765B">
            <w:pPr>
              <w:spacing w:line="400" w:lineRule="exact"/>
              <w:ind w:firstLine="0" w:firstLineChars="0"/>
              <w:jc w:val="center"/>
              <w:rPr>
                <w:rFonts w:ascii="仿宋_GB2312" w:eastAsia="仿宋_GB2312"/>
                <w:color w:val="000000" w:themeColor="text1"/>
                <w:sz w:val="24"/>
                <w:szCs w:val="24"/>
              </w:rPr>
            </w:pPr>
          </w:p>
          <w:p w14:paraId="6A32AB54">
            <w:pPr>
              <w:spacing w:line="400" w:lineRule="exact"/>
              <w:ind w:firstLine="0" w:firstLineChars="0"/>
              <w:jc w:val="center"/>
              <w:rPr>
                <w:rFonts w:ascii="仿宋_GB2312" w:eastAsia="仿宋_GB2312"/>
                <w:color w:val="000000" w:themeColor="text1"/>
                <w:sz w:val="24"/>
                <w:szCs w:val="24"/>
              </w:rPr>
            </w:pPr>
          </w:p>
          <w:p w14:paraId="3C29ED6A">
            <w:pPr>
              <w:spacing w:line="400" w:lineRule="exact"/>
              <w:ind w:firstLine="0" w:firstLineChars="0"/>
              <w:jc w:val="center"/>
              <w:rPr>
                <w:rFonts w:ascii="仿宋_GB2312" w:eastAsia="仿宋_GB2312"/>
                <w:color w:val="000000" w:themeColor="text1"/>
                <w:sz w:val="24"/>
                <w:szCs w:val="24"/>
              </w:rPr>
            </w:pPr>
          </w:p>
          <w:p w14:paraId="2987F60B">
            <w:pPr>
              <w:spacing w:line="400" w:lineRule="exact"/>
              <w:ind w:firstLine="0" w:firstLineChars="0"/>
              <w:jc w:val="center"/>
              <w:rPr>
                <w:rFonts w:ascii="仿宋_GB2312" w:eastAsia="仿宋_GB2312"/>
                <w:color w:val="000000" w:themeColor="text1"/>
                <w:sz w:val="24"/>
                <w:szCs w:val="24"/>
              </w:rPr>
            </w:pPr>
          </w:p>
          <w:p w14:paraId="333A0B6F">
            <w:pPr>
              <w:spacing w:line="400" w:lineRule="exact"/>
              <w:ind w:firstLine="0" w:firstLineChars="0"/>
              <w:jc w:val="center"/>
              <w:rPr>
                <w:rFonts w:ascii="仿宋_GB2312" w:eastAsia="仿宋_GB2312"/>
                <w:color w:val="000000" w:themeColor="text1"/>
                <w:sz w:val="24"/>
                <w:szCs w:val="24"/>
              </w:rPr>
            </w:pPr>
          </w:p>
          <w:p w14:paraId="22E40559">
            <w:pPr>
              <w:spacing w:line="400" w:lineRule="exact"/>
              <w:ind w:right="480" w:firstLine="3186" w:firstLineChars="1350"/>
              <w:rPr>
                <w:rFonts w:ascii="仿宋_GB2312" w:eastAsia="仿宋_GB2312"/>
                <w:color w:val="000000" w:themeColor="text1"/>
                <w:sz w:val="24"/>
                <w:szCs w:val="24"/>
              </w:rPr>
            </w:pPr>
            <w:r>
              <w:rPr>
                <w:rFonts w:hint="eastAsia" w:ascii="仿宋_GB2312" w:eastAsia="仿宋_GB2312"/>
                <w:color w:val="000000" w:themeColor="text1"/>
                <w:sz w:val="24"/>
                <w:szCs w:val="24"/>
              </w:rPr>
              <w:t>个人签名：</w:t>
            </w: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年</w:t>
            </w: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月</w:t>
            </w: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日</w:t>
            </w:r>
          </w:p>
        </w:tc>
      </w:tr>
      <w:tr w14:paraId="68B2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1384" w:type="dxa"/>
            <w:vAlign w:val="center"/>
          </w:tcPr>
          <w:p w14:paraId="215C0EA8">
            <w:pPr>
              <w:spacing w:line="300" w:lineRule="exact"/>
              <w:ind w:firstLine="0" w:firstLineChars="0"/>
              <w:jc w:val="center"/>
              <w:rPr>
                <w:rFonts w:ascii="仿宋_GB2312" w:eastAsia="仿宋_GB2312"/>
                <w:color w:val="000000" w:themeColor="text1"/>
                <w:sz w:val="24"/>
                <w:szCs w:val="24"/>
              </w:rPr>
            </w:pPr>
            <w:r>
              <w:rPr>
                <w:rFonts w:hint="eastAsia" w:ascii="仿宋_GB2312" w:eastAsia="仿宋_GB2312"/>
                <w:color w:val="000000" w:themeColor="text1"/>
                <w:sz w:val="24"/>
                <w:szCs w:val="24"/>
              </w:rPr>
              <w:t>所在单位负责人评语和考核等次建议</w:t>
            </w:r>
          </w:p>
        </w:tc>
        <w:tc>
          <w:tcPr>
            <w:tcW w:w="7676" w:type="dxa"/>
            <w:gridSpan w:val="5"/>
            <w:vAlign w:val="center"/>
          </w:tcPr>
          <w:p w14:paraId="7B3467D9">
            <w:pPr>
              <w:spacing w:line="300" w:lineRule="exact"/>
              <w:ind w:firstLine="0" w:firstLineChars="0"/>
              <w:jc w:val="center"/>
              <w:rPr>
                <w:rFonts w:ascii="仿宋_GB2312" w:eastAsia="仿宋_GB2312"/>
                <w:color w:val="000000" w:themeColor="text1"/>
                <w:sz w:val="24"/>
                <w:szCs w:val="24"/>
              </w:rPr>
            </w:pPr>
          </w:p>
          <w:p w14:paraId="30F4FA10">
            <w:pPr>
              <w:spacing w:line="300" w:lineRule="exact"/>
              <w:ind w:firstLine="0" w:firstLineChars="0"/>
              <w:jc w:val="center"/>
              <w:rPr>
                <w:rFonts w:ascii="仿宋_GB2312" w:eastAsia="仿宋_GB2312"/>
                <w:color w:val="000000" w:themeColor="text1"/>
                <w:sz w:val="24"/>
                <w:szCs w:val="24"/>
              </w:rPr>
            </w:pPr>
          </w:p>
          <w:p w14:paraId="3F789C1E">
            <w:pPr>
              <w:spacing w:line="300" w:lineRule="exact"/>
              <w:ind w:firstLine="0" w:firstLineChars="0"/>
              <w:jc w:val="center"/>
              <w:rPr>
                <w:rFonts w:ascii="仿宋_GB2312" w:eastAsia="仿宋_GB2312"/>
                <w:color w:val="000000" w:themeColor="text1"/>
                <w:sz w:val="24"/>
                <w:szCs w:val="24"/>
              </w:rPr>
            </w:pP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签名：</w:t>
            </w: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年</w:t>
            </w: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月</w:t>
            </w: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日</w:t>
            </w:r>
          </w:p>
        </w:tc>
      </w:tr>
      <w:tr w14:paraId="0553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7B45C">
            <w:pPr>
              <w:spacing w:line="300" w:lineRule="exact"/>
              <w:ind w:firstLine="0" w:firstLineChars="0"/>
              <w:jc w:val="center"/>
              <w:rPr>
                <w:rFonts w:ascii="仿宋_GB2312" w:eastAsia="仿宋_GB2312"/>
                <w:color w:val="000000" w:themeColor="text1"/>
                <w:sz w:val="24"/>
                <w:szCs w:val="24"/>
              </w:rPr>
            </w:pPr>
            <w:r>
              <w:rPr>
                <w:rFonts w:hint="eastAsia" w:ascii="仿宋_GB2312" w:eastAsia="仿宋_GB2312"/>
                <w:color w:val="000000" w:themeColor="text1"/>
                <w:sz w:val="24"/>
                <w:szCs w:val="24"/>
              </w:rPr>
              <w:t>分管领导评语和考核等次建议</w:t>
            </w:r>
          </w:p>
        </w:tc>
        <w:tc>
          <w:tcPr>
            <w:tcW w:w="7676" w:type="dxa"/>
            <w:gridSpan w:val="5"/>
            <w:vAlign w:val="center"/>
          </w:tcPr>
          <w:p w14:paraId="74863BBE">
            <w:pPr>
              <w:spacing w:line="300" w:lineRule="exact"/>
              <w:ind w:firstLine="0" w:firstLineChars="0"/>
              <w:jc w:val="center"/>
              <w:rPr>
                <w:rFonts w:ascii="仿宋_GB2312" w:eastAsia="仿宋_GB2312"/>
                <w:color w:val="000000" w:themeColor="text1"/>
                <w:sz w:val="24"/>
                <w:szCs w:val="24"/>
              </w:rPr>
            </w:pPr>
          </w:p>
          <w:p w14:paraId="0391B3C7">
            <w:pPr>
              <w:spacing w:line="300" w:lineRule="exact"/>
              <w:ind w:firstLine="0" w:firstLineChars="0"/>
              <w:jc w:val="center"/>
              <w:rPr>
                <w:rFonts w:ascii="仿宋_GB2312" w:eastAsia="仿宋_GB2312"/>
                <w:color w:val="000000" w:themeColor="text1"/>
                <w:sz w:val="24"/>
                <w:szCs w:val="24"/>
              </w:rPr>
            </w:pPr>
          </w:p>
          <w:p w14:paraId="3B0A4120">
            <w:pPr>
              <w:spacing w:line="300" w:lineRule="exact"/>
              <w:ind w:firstLine="0" w:firstLineChars="0"/>
              <w:jc w:val="center"/>
              <w:rPr>
                <w:rFonts w:ascii="仿宋_GB2312" w:eastAsia="仿宋_GB2312"/>
                <w:color w:val="000000" w:themeColor="text1"/>
                <w:sz w:val="24"/>
                <w:szCs w:val="24"/>
              </w:rPr>
            </w:pPr>
            <w:r>
              <w:rPr>
                <w:rFonts w:hint="eastAsia" w:ascii="仿宋_GB2312" w:eastAsia="仿宋_GB2312"/>
                <w:color w:val="000000" w:themeColor="text1"/>
                <w:sz w:val="24"/>
                <w:szCs w:val="24"/>
              </w:rPr>
              <w:t xml:space="preserve">                          签名：</w:t>
            </w: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年</w:t>
            </w: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月</w:t>
            </w: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日</w:t>
            </w:r>
          </w:p>
        </w:tc>
      </w:tr>
      <w:tr w14:paraId="2140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15916">
            <w:pPr>
              <w:spacing w:line="300" w:lineRule="exact"/>
              <w:ind w:firstLine="0" w:firstLineChars="0"/>
              <w:jc w:val="center"/>
              <w:rPr>
                <w:rFonts w:ascii="仿宋_GB2312" w:eastAsia="仿宋_GB2312"/>
                <w:color w:val="000000" w:themeColor="text1"/>
                <w:sz w:val="24"/>
                <w:szCs w:val="24"/>
              </w:rPr>
            </w:pPr>
            <w:r>
              <w:rPr>
                <w:rFonts w:hint="eastAsia" w:ascii="仿宋_GB2312" w:eastAsia="仿宋_GB2312"/>
                <w:color w:val="000000" w:themeColor="text1"/>
                <w:sz w:val="24"/>
                <w:szCs w:val="24"/>
              </w:rPr>
              <w:t>学院平时考核委员会意见</w:t>
            </w:r>
          </w:p>
        </w:tc>
        <w:tc>
          <w:tcPr>
            <w:tcW w:w="7676" w:type="dxa"/>
            <w:gridSpan w:val="5"/>
            <w:vAlign w:val="center"/>
          </w:tcPr>
          <w:p w14:paraId="78AE78A0">
            <w:pPr>
              <w:spacing w:line="300" w:lineRule="exact"/>
              <w:ind w:firstLine="0" w:firstLineChars="0"/>
              <w:jc w:val="center"/>
              <w:rPr>
                <w:rFonts w:ascii="仿宋_GB2312" w:eastAsia="仿宋_GB2312"/>
                <w:color w:val="000000" w:themeColor="text1"/>
                <w:sz w:val="24"/>
                <w:szCs w:val="24"/>
              </w:rPr>
            </w:pPr>
          </w:p>
          <w:p w14:paraId="2AED39AD">
            <w:pPr>
              <w:spacing w:line="300" w:lineRule="exact"/>
              <w:ind w:firstLine="0" w:firstLineChars="0"/>
              <w:jc w:val="center"/>
              <w:rPr>
                <w:rFonts w:ascii="仿宋_GB2312" w:eastAsia="仿宋_GB2312"/>
                <w:color w:val="000000" w:themeColor="text1"/>
                <w:sz w:val="24"/>
                <w:szCs w:val="24"/>
              </w:rPr>
            </w:pPr>
          </w:p>
          <w:p w14:paraId="1D9B003D">
            <w:pPr>
              <w:spacing w:line="300" w:lineRule="exact"/>
              <w:ind w:firstLine="0" w:firstLineChars="0"/>
              <w:jc w:val="center"/>
              <w:rPr>
                <w:rFonts w:ascii="仿宋_GB2312" w:eastAsia="仿宋_GB2312"/>
                <w:color w:val="000000" w:themeColor="text1"/>
                <w:sz w:val="24"/>
                <w:szCs w:val="24"/>
              </w:rPr>
            </w:pP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盖章：</w:t>
            </w: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年</w:t>
            </w: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月</w:t>
            </w:r>
            <w:r>
              <w:rPr>
                <w:rFonts w:ascii="仿宋_GB2312" w:eastAsia="仿宋_GB2312"/>
                <w:color w:val="000000" w:themeColor="text1"/>
                <w:sz w:val="24"/>
                <w:szCs w:val="24"/>
              </w:rPr>
              <w:t xml:space="preserve">  </w:t>
            </w:r>
            <w:r>
              <w:rPr>
                <w:rFonts w:hint="eastAsia" w:ascii="仿宋_GB2312" w:eastAsia="仿宋_GB2312"/>
                <w:color w:val="000000" w:themeColor="text1"/>
                <w:sz w:val="24"/>
                <w:szCs w:val="24"/>
              </w:rPr>
              <w:t>日</w:t>
            </w:r>
          </w:p>
        </w:tc>
      </w:tr>
    </w:tbl>
    <w:p w14:paraId="6288EE1E">
      <w:pPr>
        <w:spacing w:line="360" w:lineRule="auto"/>
        <w:ind w:firstLine="0" w:firstLineChars="0"/>
        <w:jc w:val="left"/>
        <w:rPr>
          <w:sz w:val="28"/>
          <w:szCs w:val="28"/>
        </w:rPr>
      </w:pPr>
    </w:p>
    <w:p w14:paraId="701279D9">
      <w:pPr>
        <w:spacing w:line="360" w:lineRule="auto"/>
        <w:ind w:firstLine="0" w:firstLineChars="0"/>
        <w:jc w:val="left"/>
        <w:rPr>
          <w:sz w:val="28"/>
          <w:szCs w:val="28"/>
        </w:rPr>
      </w:pPr>
    </w:p>
    <w:p w14:paraId="5468EA29">
      <w:pPr>
        <w:spacing w:line="360" w:lineRule="auto"/>
        <w:ind w:firstLine="0" w:firstLineChars="0"/>
        <w:jc w:val="left"/>
        <w:rPr>
          <w:sz w:val="28"/>
          <w:szCs w:val="28"/>
        </w:rPr>
      </w:pPr>
    </w:p>
    <w:p w14:paraId="6C509564">
      <w:pPr>
        <w:spacing w:line="360" w:lineRule="auto"/>
        <w:ind w:firstLine="0" w:firstLineChars="0"/>
        <w:jc w:val="left"/>
        <w:rPr>
          <w:sz w:val="28"/>
          <w:szCs w:val="28"/>
        </w:rPr>
      </w:pPr>
    </w:p>
    <w:p w14:paraId="0E81031D">
      <w:pPr>
        <w:spacing w:line="360" w:lineRule="auto"/>
        <w:ind w:firstLine="0" w:firstLineChars="0"/>
        <w:jc w:val="left"/>
        <w:rPr>
          <w:sz w:val="28"/>
          <w:szCs w:val="28"/>
        </w:rPr>
      </w:pPr>
    </w:p>
    <w:p w14:paraId="36120934">
      <w:pPr>
        <w:spacing w:line="360" w:lineRule="auto"/>
        <w:ind w:firstLine="0" w:firstLineChars="0"/>
        <w:jc w:val="left"/>
        <w:rPr>
          <w:sz w:val="28"/>
          <w:szCs w:val="28"/>
        </w:rPr>
      </w:pPr>
    </w:p>
    <w:p w14:paraId="605C61F0">
      <w:pPr>
        <w:spacing w:line="360" w:lineRule="auto"/>
        <w:ind w:firstLine="0" w:firstLineChars="0"/>
        <w:jc w:val="left"/>
        <w:rPr>
          <w:sz w:val="28"/>
          <w:szCs w:val="28"/>
        </w:rPr>
      </w:pPr>
    </w:p>
    <w:p w14:paraId="779B34F5">
      <w:pPr>
        <w:spacing w:line="360" w:lineRule="auto"/>
        <w:ind w:firstLine="0" w:firstLineChars="0"/>
        <w:jc w:val="left"/>
        <w:rPr>
          <w:sz w:val="28"/>
          <w:szCs w:val="28"/>
        </w:rPr>
      </w:pPr>
    </w:p>
    <w:p w14:paraId="7A9E5482">
      <w:pPr>
        <w:spacing w:line="360" w:lineRule="auto"/>
        <w:ind w:firstLine="0" w:firstLineChars="0"/>
        <w:jc w:val="left"/>
        <w:rPr>
          <w:sz w:val="28"/>
          <w:szCs w:val="28"/>
        </w:rPr>
      </w:pPr>
    </w:p>
    <w:p w14:paraId="6709F609">
      <w:pPr>
        <w:spacing w:line="360" w:lineRule="auto"/>
        <w:ind w:firstLine="0" w:firstLineChars="0"/>
        <w:jc w:val="left"/>
        <w:rPr>
          <w:sz w:val="28"/>
          <w:szCs w:val="28"/>
        </w:rPr>
      </w:pPr>
    </w:p>
    <w:p w14:paraId="16534E82">
      <w:pPr>
        <w:spacing w:line="360" w:lineRule="auto"/>
        <w:ind w:firstLine="0" w:firstLineChars="0"/>
        <w:jc w:val="left"/>
        <w:rPr>
          <w:sz w:val="28"/>
          <w:szCs w:val="28"/>
        </w:rPr>
      </w:pPr>
    </w:p>
    <w:p w14:paraId="3D961F41">
      <w:pPr>
        <w:spacing w:line="360" w:lineRule="auto"/>
        <w:ind w:firstLine="0" w:firstLineChars="0"/>
        <w:jc w:val="left"/>
        <w:rPr>
          <w:sz w:val="28"/>
          <w:szCs w:val="28"/>
        </w:rPr>
      </w:pPr>
    </w:p>
    <w:tbl>
      <w:tblPr>
        <w:tblStyle w:val="9"/>
        <w:tblpPr w:leftFromText="181" w:rightFromText="181" w:tblpYSpec="bottom"/>
        <w:tblOverlap w:val="never"/>
        <w:tblW w:w="9060"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9060"/>
      </w:tblGrid>
      <w:tr w14:paraId="324260E3">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9060" w:type="dxa"/>
            <w:vAlign w:val="center"/>
          </w:tcPr>
          <w:p w14:paraId="6A3FE9C0">
            <w:pPr>
              <w:ind w:firstLine="0" w:firstLineChars="0"/>
              <w:rPr>
                <w:rFonts w:ascii="黑体" w:hAnsi="黑体" w:eastAsia="黑体"/>
                <w:szCs w:val="32"/>
              </w:rPr>
            </w:pPr>
          </w:p>
        </w:tc>
      </w:tr>
      <w:tr w14:paraId="782BF6DC">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9060" w:type="dxa"/>
            <w:vAlign w:val="center"/>
          </w:tcPr>
          <w:p w14:paraId="6BDABB37">
            <w:pPr>
              <w:ind w:firstLine="0" w:firstLineChars="0"/>
              <w:rPr>
                <w:rFonts w:ascii="仿宋_GB2312" w:eastAsia="仿宋_GB2312"/>
                <w:szCs w:val="32"/>
              </w:rPr>
            </w:pPr>
            <w:r>
              <w:rPr>
                <w:rFonts w:hint="eastAsia" w:ascii="仿宋_GB2312" w:eastAsia="仿宋_GB2312"/>
                <w:szCs w:val="32"/>
              </w:rPr>
              <w:t xml:space="preserve">南阳农业职业学院                </w:t>
            </w:r>
            <w:r>
              <w:rPr>
                <w:rFonts w:hint="eastAsia" w:ascii="仿宋_GB2312" w:hAnsi="仿宋" w:eastAsia="仿宋_GB2312"/>
                <w:szCs w:val="32"/>
              </w:rPr>
              <w:t xml:space="preserve">     2018年9月3日印发</w:t>
            </w:r>
          </w:p>
        </w:tc>
      </w:tr>
      <w:tr w14:paraId="25AE44FF">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9060" w:type="dxa"/>
            <w:vAlign w:val="center"/>
          </w:tcPr>
          <w:p w14:paraId="535F8ECA">
            <w:pPr>
              <w:wordWrap w:val="0"/>
              <w:ind w:firstLine="0" w:firstLineChars="0"/>
              <w:jc w:val="right"/>
              <w:rPr>
                <w:rFonts w:ascii="仿宋_GB2312" w:eastAsia="仿宋_GB2312"/>
                <w:szCs w:val="32"/>
              </w:rPr>
            </w:pPr>
            <w:r>
              <w:rPr>
                <w:rFonts w:hint="eastAsia" w:ascii="仿宋_GB2312" w:eastAsia="仿宋_GB2312"/>
                <w:szCs w:val="32"/>
              </w:rPr>
              <w:t>（共印</w:t>
            </w:r>
            <w:r>
              <w:rPr>
                <w:rFonts w:hint="eastAsia" w:ascii="仿宋_GB2312" w:hAnsi="仿宋" w:eastAsia="仿宋_GB2312"/>
                <w:szCs w:val="32"/>
              </w:rPr>
              <w:t>40</w:t>
            </w:r>
            <w:r>
              <w:rPr>
                <w:rFonts w:hint="eastAsia" w:ascii="仿宋_GB2312" w:eastAsia="仿宋_GB2312"/>
                <w:szCs w:val="32"/>
              </w:rPr>
              <w:t>份）</w:t>
            </w:r>
          </w:p>
        </w:tc>
      </w:tr>
    </w:tbl>
    <w:p w14:paraId="6DDEEF9B">
      <w:pPr>
        <w:spacing w:line="400" w:lineRule="exact"/>
        <w:ind w:left="6001" w:hanging="6004" w:hangingChars="1900"/>
        <w:rPr>
          <w:rFonts w:ascii="仿宋_GB2312" w:hAnsi="宋体" w:eastAsia="仿宋_GB2312"/>
          <w:szCs w:val="32"/>
        </w:rPr>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665" w:gutter="0"/>
      <w:pgNumType w:start="1" w:chapSep="emDash"/>
      <w:cols w:space="425"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2"/>
      </w:pPr>
      <w:r>
        <w:separator/>
      </w:r>
    </w:p>
  </w:endnote>
  <w:endnote w:type="continuationSeparator" w:id="1">
    <w:p>
      <w:pPr>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E0B6ED-B051-4508-9B33-11D4021324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E54D026-98B7-44C5-B609-E12B0D0FC123}"/>
  </w:font>
  <w:font w:name="仿宋">
    <w:panose1 w:val="02010609060101010101"/>
    <w:charset w:val="86"/>
    <w:family w:val="modern"/>
    <w:pitch w:val="default"/>
    <w:sig w:usb0="800002BF" w:usb1="38CF7CFA" w:usb2="00000016" w:usb3="00000000" w:csb0="00040001" w:csb1="00000000"/>
    <w:embedRegular r:id="rId3" w:fontKey="{202A5672-FFBE-45C7-991B-488F3C06BD57}"/>
  </w:font>
  <w:font w:name="方正小标宋简体">
    <w:panose1 w:val="02000000000000000000"/>
    <w:charset w:val="86"/>
    <w:family w:val="script"/>
    <w:pitch w:val="default"/>
    <w:sig w:usb0="00000001" w:usb1="08000000" w:usb2="00000000" w:usb3="00000000" w:csb0="00040000" w:csb1="00000000"/>
    <w:embedRegular r:id="rId4" w:fontKey="{770898AB-68A2-4CA7-AB13-5E7EFA8A99DA}"/>
  </w:font>
  <w:font w:name="仿宋_GB2312">
    <w:altName w:val="仿宋"/>
    <w:panose1 w:val="02010609030101010101"/>
    <w:charset w:val="86"/>
    <w:family w:val="modern"/>
    <w:pitch w:val="default"/>
    <w:sig w:usb0="00000000" w:usb1="00000000" w:usb2="00000000" w:usb3="00000000" w:csb0="00040000" w:csb1="00000000"/>
    <w:embedRegular r:id="rId5" w:fontKey="{27BAFD02-BD58-46A1-942C-1ACE96F0D9DB}"/>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A621C">
    <w:pPr>
      <w:pStyle w:val="6"/>
      <w:wordWrap w:val="0"/>
      <w:ind w:firstLine="560"/>
      <w:jc w:val="right"/>
      <w:rPr>
        <w:sz w:val="28"/>
        <w:szCs w:val="28"/>
      </w:rPr>
    </w:pPr>
    <w:r>
      <w:rPr>
        <w:rFonts w:hint="eastAsia"/>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13</w:t>
    </w:r>
    <w:r>
      <w:rPr>
        <w:rFonts w:hint="eastAsia" w:ascii="仿宋_GB2312" w:eastAsia="仿宋_GB2312"/>
        <w:sz w:val="28"/>
        <w:szCs w:val="28"/>
      </w:rPr>
      <w:fldChar w:fldCharType="end"/>
    </w:r>
    <w:r>
      <w:rPr>
        <w:rFonts w:hint="eastAsia"/>
        <w:sz w:val="28"/>
        <w:szCs w:val="28"/>
      </w:rPr>
      <w:t>－　</w:t>
    </w:r>
  </w:p>
  <w:p w14:paraId="21197622">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09993">
    <w:pPr>
      <w:pStyle w:val="6"/>
      <w:ind w:firstLine="280" w:firstLineChars="100"/>
      <w:rPr>
        <w:sz w:val="28"/>
        <w:szCs w:val="28"/>
      </w:rPr>
    </w:pPr>
    <w:r>
      <w:rPr>
        <w:rFonts w:hint="eastAsia"/>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12</w:t>
    </w:r>
    <w:r>
      <w:rPr>
        <w:rFonts w:hint="eastAsia" w:ascii="仿宋_GB2312" w:eastAsia="仿宋_GB2312"/>
        <w:sz w:val="28"/>
        <w:szCs w:val="28"/>
      </w:rPr>
      <w:fldChar w:fldCharType="end"/>
    </w:r>
    <w:r>
      <w:rPr>
        <w:rFonts w:hint="eastAsia"/>
        <w:sz w:val="28"/>
        <w:szCs w:val="28"/>
      </w:rPr>
      <w:t>－</w:t>
    </w:r>
  </w:p>
  <w:p w14:paraId="25A056CE">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65DE0">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firstLine="632"/>
      </w:pPr>
      <w:r>
        <w:separator/>
      </w:r>
    </w:p>
  </w:footnote>
  <w:footnote w:type="continuationSeparator" w:id="1">
    <w:p>
      <w:pPr>
        <w:spacing w:before="0" w:after="0"/>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0CE33">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CFD19">
    <w:pPr>
      <w:pStyle w:val="7"/>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C9CCD">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53303F33"/>
    <w:rsid w:val="00004C60"/>
    <w:rsid w:val="00020F33"/>
    <w:rsid w:val="0003469F"/>
    <w:rsid w:val="00045FD5"/>
    <w:rsid w:val="00047851"/>
    <w:rsid w:val="00087428"/>
    <w:rsid w:val="000B7425"/>
    <w:rsid w:val="000D6740"/>
    <w:rsid w:val="001147FB"/>
    <w:rsid w:val="0012018B"/>
    <w:rsid w:val="00151FE5"/>
    <w:rsid w:val="0016553F"/>
    <w:rsid w:val="0018689C"/>
    <w:rsid w:val="001D279B"/>
    <w:rsid w:val="002058DD"/>
    <w:rsid w:val="0022166A"/>
    <w:rsid w:val="0022663D"/>
    <w:rsid w:val="00246B5E"/>
    <w:rsid w:val="002508DD"/>
    <w:rsid w:val="00254E20"/>
    <w:rsid w:val="0028006F"/>
    <w:rsid w:val="00282C1D"/>
    <w:rsid w:val="00301ABF"/>
    <w:rsid w:val="00312DD8"/>
    <w:rsid w:val="00326B25"/>
    <w:rsid w:val="00332C90"/>
    <w:rsid w:val="00333CFC"/>
    <w:rsid w:val="003437DA"/>
    <w:rsid w:val="00353194"/>
    <w:rsid w:val="00362789"/>
    <w:rsid w:val="00373AB7"/>
    <w:rsid w:val="003C3C8C"/>
    <w:rsid w:val="003D1749"/>
    <w:rsid w:val="003D269E"/>
    <w:rsid w:val="003D7391"/>
    <w:rsid w:val="003F4844"/>
    <w:rsid w:val="00417D7D"/>
    <w:rsid w:val="0042663D"/>
    <w:rsid w:val="0043665B"/>
    <w:rsid w:val="00437568"/>
    <w:rsid w:val="0047087A"/>
    <w:rsid w:val="00481D53"/>
    <w:rsid w:val="004A041E"/>
    <w:rsid w:val="004D0FE1"/>
    <w:rsid w:val="004D477D"/>
    <w:rsid w:val="004D6B2B"/>
    <w:rsid w:val="004F0E41"/>
    <w:rsid w:val="004F5483"/>
    <w:rsid w:val="004F6459"/>
    <w:rsid w:val="005106DF"/>
    <w:rsid w:val="00520D05"/>
    <w:rsid w:val="00530BFD"/>
    <w:rsid w:val="00534152"/>
    <w:rsid w:val="00550BF5"/>
    <w:rsid w:val="005616BA"/>
    <w:rsid w:val="005A2741"/>
    <w:rsid w:val="005B62D9"/>
    <w:rsid w:val="005C09AE"/>
    <w:rsid w:val="00632435"/>
    <w:rsid w:val="00634F2B"/>
    <w:rsid w:val="00677099"/>
    <w:rsid w:val="00683CC5"/>
    <w:rsid w:val="00694ED5"/>
    <w:rsid w:val="006B09A2"/>
    <w:rsid w:val="006B4F7B"/>
    <w:rsid w:val="006C2CAC"/>
    <w:rsid w:val="006D1FA1"/>
    <w:rsid w:val="006D23DF"/>
    <w:rsid w:val="006E3CE1"/>
    <w:rsid w:val="006F0FE5"/>
    <w:rsid w:val="006F7F7C"/>
    <w:rsid w:val="00702C43"/>
    <w:rsid w:val="00741B11"/>
    <w:rsid w:val="00753762"/>
    <w:rsid w:val="00775D4F"/>
    <w:rsid w:val="007A0F3E"/>
    <w:rsid w:val="007B7C70"/>
    <w:rsid w:val="007E302C"/>
    <w:rsid w:val="0080616C"/>
    <w:rsid w:val="00812A5B"/>
    <w:rsid w:val="00816186"/>
    <w:rsid w:val="0085418B"/>
    <w:rsid w:val="00856EA7"/>
    <w:rsid w:val="0089629F"/>
    <w:rsid w:val="008E414F"/>
    <w:rsid w:val="00921CA5"/>
    <w:rsid w:val="0093046A"/>
    <w:rsid w:val="00941CED"/>
    <w:rsid w:val="00947FAB"/>
    <w:rsid w:val="00957703"/>
    <w:rsid w:val="009A0234"/>
    <w:rsid w:val="009A05A6"/>
    <w:rsid w:val="009C2E57"/>
    <w:rsid w:val="009D62E7"/>
    <w:rsid w:val="009F1B3A"/>
    <w:rsid w:val="009F6EFE"/>
    <w:rsid w:val="00A328D0"/>
    <w:rsid w:val="00A7132D"/>
    <w:rsid w:val="00A71FEE"/>
    <w:rsid w:val="00A8599D"/>
    <w:rsid w:val="00A92F7A"/>
    <w:rsid w:val="00B3714D"/>
    <w:rsid w:val="00B42D87"/>
    <w:rsid w:val="00B565CE"/>
    <w:rsid w:val="00B64687"/>
    <w:rsid w:val="00B93CA5"/>
    <w:rsid w:val="00B9445D"/>
    <w:rsid w:val="00BC1A04"/>
    <w:rsid w:val="00BE6815"/>
    <w:rsid w:val="00C63B9A"/>
    <w:rsid w:val="00C83095"/>
    <w:rsid w:val="00CB1CDD"/>
    <w:rsid w:val="00CB47F4"/>
    <w:rsid w:val="00CC3211"/>
    <w:rsid w:val="00CC6B4C"/>
    <w:rsid w:val="00CF6EA9"/>
    <w:rsid w:val="00D106AF"/>
    <w:rsid w:val="00D159F4"/>
    <w:rsid w:val="00D3520C"/>
    <w:rsid w:val="00D54AC9"/>
    <w:rsid w:val="00D57D74"/>
    <w:rsid w:val="00D73353"/>
    <w:rsid w:val="00D7682B"/>
    <w:rsid w:val="00D94D94"/>
    <w:rsid w:val="00DA0698"/>
    <w:rsid w:val="00DA46FC"/>
    <w:rsid w:val="00E2209C"/>
    <w:rsid w:val="00E84B6D"/>
    <w:rsid w:val="00E86F60"/>
    <w:rsid w:val="00EA00BE"/>
    <w:rsid w:val="00EA3430"/>
    <w:rsid w:val="00EB4917"/>
    <w:rsid w:val="00ED3FE6"/>
    <w:rsid w:val="00ED6E63"/>
    <w:rsid w:val="00EE062E"/>
    <w:rsid w:val="00EE11E9"/>
    <w:rsid w:val="00EE19CD"/>
    <w:rsid w:val="00EF4BC1"/>
    <w:rsid w:val="00F00FD8"/>
    <w:rsid w:val="00F1181A"/>
    <w:rsid w:val="00F51AAE"/>
    <w:rsid w:val="00FB51EA"/>
    <w:rsid w:val="00FC7F25"/>
    <w:rsid w:val="00FD0AE8"/>
    <w:rsid w:val="00FF49C6"/>
    <w:rsid w:val="00FF60FE"/>
    <w:rsid w:val="16195C52"/>
    <w:rsid w:val="2C44421B"/>
    <w:rsid w:val="53303F33"/>
    <w:rsid w:val="5F9208EE"/>
    <w:rsid w:val="63652448"/>
    <w:rsid w:val="71A950B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0" w:beforeAutospacing="1" w:after="100" w:afterAutospacing="1"/>
      <w:ind w:firstLine="200" w:firstLineChars="200"/>
      <w:jc w:val="both"/>
    </w:pPr>
    <w:rPr>
      <w:rFonts w:ascii="Calibri" w:hAnsi="Calibri" w:eastAsia="仿宋" w:cs="Times New Roman"/>
      <w:kern w:val="2"/>
      <w:sz w:val="32"/>
      <w:szCs w:val="22"/>
      <w:lang w:val="en-US" w:eastAsia="zh-CN" w:bidi="ar-SA"/>
    </w:rPr>
  </w:style>
  <w:style w:type="paragraph" w:styleId="2">
    <w:name w:val="heading 1"/>
    <w:basedOn w:val="1"/>
    <w:next w:val="1"/>
    <w:link w:val="15"/>
    <w:qFormat/>
    <w:locked/>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8"/>
    <w:semiHidden/>
    <w:unhideWhenUsed/>
    <w:qFormat/>
    <w:uiPriority w:val="99"/>
    <w:rPr>
      <w:rFonts w:ascii="宋体" w:eastAsia="宋体"/>
      <w:sz w:val="18"/>
      <w:szCs w:val="18"/>
    </w:rPr>
  </w:style>
  <w:style w:type="paragraph" w:styleId="4">
    <w:name w:val="Date"/>
    <w:basedOn w:val="1"/>
    <w:next w:val="1"/>
    <w:link w:val="16"/>
    <w:semiHidden/>
    <w:unhideWhenUsed/>
    <w:qFormat/>
    <w:uiPriority w:val="99"/>
    <w:pPr>
      <w:ind w:left="100" w:leftChars="2500"/>
    </w:pPr>
  </w:style>
  <w:style w:type="paragraph" w:styleId="5">
    <w:name w:val="Balloon Text"/>
    <w:basedOn w:val="1"/>
    <w:link w:val="17"/>
    <w:semiHidden/>
    <w:unhideWhenUsed/>
    <w:qFormat/>
    <w:uiPriority w:val="99"/>
    <w:pPr>
      <w:spacing w:before="0" w:after="0"/>
    </w:pPr>
    <w:rPr>
      <w:sz w:val="18"/>
      <w:szCs w:val="18"/>
    </w:r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3"/>
    <w:semiHidden/>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ind w:firstLine="0" w:firstLineChars="0"/>
      <w:jc w:val="left"/>
    </w:pPr>
    <w:rPr>
      <w:rFonts w:ascii="宋体" w:hAnsi="宋体" w:eastAsia="宋体" w:cs="宋体"/>
      <w:kern w:val="0"/>
      <w:sz w:val="24"/>
      <w:szCs w:val="24"/>
    </w:rPr>
  </w:style>
  <w:style w:type="table" w:styleId="10">
    <w:name w:val="Table Grid"/>
    <w:basedOn w:val="9"/>
    <w:qFormat/>
    <w:locked/>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customStyle="1" w:styleId="13">
    <w:name w:val="页眉 Char"/>
    <w:basedOn w:val="11"/>
    <w:link w:val="7"/>
    <w:semiHidden/>
    <w:qFormat/>
    <w:locked/>
    <w:uiPriority w:val="99"/>
    <w:rPr>
      <w:rFonts w:eastAsia="仿宋" w:cs="Times New Roman"/>
      <w:sz w:val="18"/>
      <w:szCs w:val="18"/>
    </w:rPr>
  </w:style>
  <w:style w:type="character" w:customStyle="1" w:styleId="14">
    <w:name w:val="页脚 Char"/>
    <w:basedOn w:val="11"/>
    <w:link w:val="6"/>
    <w:qFormat/>
    <w:locked/>
    <w:uiPriority w:val="99"/>
    <w:rPr>
      <w:rFonts w:eastAsia="仿宋" w:cs="Times New Roman"/>
      <w:sz w:val="18"/>
      <w:szCs w:val="18"/>
    </w:rPr>
  </w:style>
  <w:style w:type="character" w:customStyle="1" w:styleId="15">
    <w:name w:val="标题 1 Char"/>
    <w:basedOn w:val="11"/>
    <w:link w:val="2"/>
    <w:qFormat/>
    <w:uiPriority w:val="0"/>
    <w:rPr>
      <w:rFonts w:eastAsia="仿宋"/>
      <w:b/>
      <w:bCs/>
      <w:kern w:val="44"/>
      <w:sz w:val="44"/>
      <w:szCs w:val="44"/>
    </w:rPr>
  </w:style>
  <w:style w:type="character" w:customStyle="1" w:styleId="16">
    <w:name w:val="日期 Char"/>
    <w:basedOn w:val="11"/>
    <w:link w:val="4"/>
    <w:semiHidden/>
    <w:qFormat/>
    <w:uiPriority w:val="99"/>
    <w:rPr>
      <w:rFonts w:eastAsia="仿宋"/>
      <w:kern w:val="2"/>
      <w:sz w:val="32"/>
      <w:szCs w:val="22"/>
    </w:rPr>
  </w:style>
  <w:style w:type="character" w:customStyle="1" w:styleId="17">
    <w:name w:val="批注框文本 Char"/>
    <w:basedOn w:val="11"/>
    <w:link w:val="5"/>
    <w:semiHidden/>
    <w:qFormat/>
    <w:uiPriority w:val="99"/>
    <w:rPr>
      <w:rFonts w:eastAsia="仿宋"/>
      <w:kern w:val="2"/>
      <w:sz w:val="18"/>
      <w:szCs w:val="18"/>
    </w:rPr>
  </w:style>
  <w:style w:type="character" w:customStyle="1" w:styleId="18">
    <w:name w:val="文档结构图 Char"/>
    <w:basedOn w:val="11"/>
    <w:link w:val="3"/>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21150;&#20844;&#23460;\&#23398;&#38498;&#25991;&#20214;\&#12304;&#38498;&#20826;&#23383;2017-&#21495;&#123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【院党字2017-号】.dotx</Template>
  <Company>微软中国</Company>
  <Pages>15</Pages>
  <Words>6277</Words>
  <Characters>6377</Characters>
  <Lines>49</Lines>
  <Paragraphs>13</Paragraphs>
  <TotalTime>131</TotalTime>
  <ScaleCrop>false</ScaleCrop>
  <LinksUpToDate>false</LinksUpToDate>
  <CharactersWithSpaces>6403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2018-08-08T08:14:00Z</dcterms:created>
  <dc:creator>张子博</dc:creator>
  <cp:lastModifiedBy>王静雯</cp:lastModifiedBy>
  <cp:lastPrinted>2018-09-16T04:35:00Z</cp:lastPrinted>
  <dcterms:modified xsi:type="dcterms:W3CDTF">2025-11-14T02:59:49Z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eyJoZGlkIjoiYjFjOTA3NmYyNzMzZDhkMDNmNTdkMzQ0Yzg4Y2JmNDkiLCJ1c2VySWQiOiIxNzQ0NzM2NjQwIn0=</vt:lpwstr>
  </property>
  <property fmtid="{D5CDD505-2E9C-101B-9397-08002B2CF9AE}" pid="4" name="ICV">
    <vt:lpwstr>BBFE869208054F3BB22B22A770EC29E2_12</vt:lpwstr>
  </property>
</Properties>
</file>