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B55B">
      <w:pPr>
        <w:pStyle w:val="8"/>
        <w:shd w:val="clear" w:color="auto" w:fill="FFFFFF"/>
        <w:spacing w:before="0" w:beforeAutospacing="0" w:after="0" w:afterAutospacing="0" w:line="420" w:lineRule="exact"/>
        <w:jc w:val="both"/>
        <w:rPr>
          <w:rFonts w:ascii="黑体" w:hAnsi="黑体" w:eastAsia="黑体" w:cstheme="minorBidi"/>
          <w:kern w:val="2"/>
          <w:sz w:val="32"/>
          <w:szCs w:val="32"/>
        </w:rPr>
      </w:pPr>
      <w:r>
        <w:rPr>
          <w:rFonts w:hint="eastAsia" w:ascii="黑体" w:hAnsi="黑体" w:eastAsia="黑体" w:cstheme="minorBidi"/>
          <w:kern w:val="2"/>
          <w:sz w:val="32"/>
          <w:szCs w:val="32"/>
        </w:rPr>
        <w:t>附件1</w:t>
      </w:r>
    </w:p>
    <w:p w14:paraId="6127F0A6">
      <w:pPr>
        <w:spacing w:before="312" w:beforeLines="100" w:after="312" w:afterLines="100" w:line="660" w:lineRule="exact"/>
        <w:jc w:val="center"/>
        <w:rPr>
          <w:rFonts w:ascii="小标宋" w:eastAsia="小标宋" w:hAnsiTheme="minorEastAsia"/>
          <w:sz w:val="44"/>
          <w:szCs w:val="44"/>
        </w:rPr>
      </w:pPr>
      <w:r>
        <w:rPr>
          <w:rFonts w:hint="eastAsia" w:ascii="小标宋" w:eastAsia="小标宋" w:hAnsiTheme="minorEastAsia"/>
          <w:sz w:val="44"/>
          <w:szCs w:val="44"/>
        </w:rPr>
        <w:t>2026年度中国老科协科学技术奖实施方案</w:t>
      </w:r>
    </w:p>
    <w:p w14:paraId="7BD29777">
      <w:pPr>
        <w:spacing w:line="580" w:lineRule="exact"/>
        <w:ind w:firstLine="640" w:firstLineChars="200"/>
        <w:rPr>
          <w:rFonts w:ascii="仿宋_GB2312" w:hAnsi="仿宋" w:eastAsia="仿宋_GB2312" w:cs="宋体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sz w:val="32"/>
          <w:szCs w:val="32"/>
          <w:lang w:val="zh-CN"/>
        </w:rPr>
        <w:t>经研究，拟开展</w:t>
      </w:r>
      <w:r>
        <w:rPr>
          <w:rFonts w:hint="eastAsia" w:ascii="仿宋_GB2312" w:hAnsi="仿宋" w:eastAsia="仿宋_GB2312" w:cs="宋体"/>
          <w:sz w:val="32"/>
          <w:szCs w:val="32"/>
        </w:rPr>
        <w:t>2026年度</w:t>
      </w:r>
      <w:r>
        <w:rPr>
          <w:rFonts w:hint="eastAsia" w:ascii="仿宋_GB2312" w:hAnsi="仿宋" w:eastAsia="仿宋_GB2312" w:cs="宋体"/>
          <w:sz w:val="32"/>
          <w:szCs w:val="32"/>
          <w:lang w:val="zh-CN"/>
        </w:rPr>
        <w:t>中国老科协科学技术奖奖励推荐和评审工作，现制定实施方案如下。</w:t>
      </w:r>
    </w:p>
    <w:p w14:paraId="3C70BEBE">
      <w:pPr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一、奖励</w:t>
      </w:r>
      <w:r>
        <w:rPr>
          <w:rFonts w:hint="eastAsia" w:ascii="Times New Roman" w:hAnsi="Times New Roman" w:eastAsia="黑体"/>
          <w:sz w:val="32"/>
          <w:szCs w:val="32"/>
        </w:rPr>
        <w:t>设置、</w:t>
      </w:r>
      <w:r>
        <w:rPr>
          <w:rFonts w:ascii="Times New Roman" w:hAnsi="Times New Roman" w:eastAsia="黑体"/>
          <w:sz w:val="32"/>
          <w:szCs w:val="32"/>
        </w:rPr>
        <w:t>范围和标准</w:t>
      </w:r>
    </w:p>
    <w:p w14:paraId="106B0C8B">
      <w:pPr>
        <w:spacing w:line="580" w:lineRule="exact"/>
        <w:ind w:firstLine="640" w:firstLineChars="200"/>
        <w:rPr>
          <w:rFonts w:ascii="仿宋_GB2312" w:hAnsi="仿宋" w:eastAsia="仿宋_GB2312" w:cs="宋体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sz w:val="32"/>
          <w:szCs w:val="32"/>
          <w:lang w:val="zh-CN"/>
        </w:rPr>
        <w:t>中国老科协科学技术奖（即“中国老科协奖”，简称“老科奖”）奖励范围是老科技工作者和集体，奖项名称分为“科技创新”“成果转化”“科学普及”3个领域，其中贡献特别突出的授予“突出奖”。各推荐单位须严格按照《中国老科学技术工作者协会科学技术奖管理办法》（以下简称《管理办法》）规定的评审标准，进行初评和推荐。</w:t>
      </w:r>
    </w:p>
    <w:p w14:paraId="287C9886">
      <w:pPr>
        <w:spacing w:line="580" w:lineRule="exact"/>
        <w:ind w:firstLine="643" w:firstLineChars="200"/>
        <w:rPr>
          <w:rFonts w:ascii="仿宋_GB2312" w:hAnsi="仿宋" w:eastAsia="仿宋_GB2312" w:cs="宋体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/>
          <w:sz w:val="32"/>
          <w:szCs w:val="32"/>
          <w:lang w:val="zh-CN"/>
        </w:rPr>
        <w:t>奖励范围和对象：</w:t>
      </w:r>
      <w:r>
        <w:rPr>
          <w:rFonts w:hint="eastAsia" w:ascii="仿宋_GB2312" w:hAnsi="仿宋" w:eastAsia="仿宋_GB2312" w:cs="宋体"/>
          <w:sz w:val="32"/>
          <w:szCs w:val="32"/>
          <w:lang w:val="zh-CN"/>
        </w:rPr>
        <w:t>在科技创新、科学普及和成果转化等方面做出贡献的老科技工作者和集体。</w:t>
      </w:r>
      <w:r>
        <w:rPr>
          <w:rFonts w:hint="eastAsia" w:ascii="Times New Roman" w:hAnsi="Times New Roman" w:eastAsia="仿宋_GB2312"/>
          <w:snapToGrid w:val="0"/>
          <w:sz w:val="32"/>
          <w:szCs w:val="32"/>
        </w:rPr>
        <w:t>往年曾获得过中国老科协奖的个人和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eastAsia="zh-CN"/>
        </w:rPr>
        <w:t>集体</w:t>
      </w:r>
      <w:r>
        <w:rPr>
          <w:rFonts w:hint="eastAsia" w:ascii="Times New Roman" w:hAnsi="Times New Roman" w:eastAsia="仿宋_GB2312"/>
          <w:snapToGrid w:val="0"/>
          <w:sz w:val="32"/>
          <w:szCs w:val="32"/>
        </w:rPr>
        <w:t>，如果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>在科技创新、科学普及、成果转化等方面有新的重要成果，也可以申报，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bidi="ar"/>
        </w:rPr>
        <w:t>申报内容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侧重上次获奖之后的新业绩，材料中应标明曾获得老科奖的奖项和获奖时间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  <w:lang w:bidi="ar"/>
        </w:rPr>
        <w:t>。</w:t>
      </w:r>
    </w:p>
    <w:p w14:paraId="23935B39">
      <w:pPr>
        <w:widowControl/>
        <w:spacing w:line="580" w:lineRule="exact"/>
        <w:ind w:firstLine="643" w:firstLineChars="200"/>
        <w:rPr>
          <w:rFonts w:ascii="仿宋_GB2312" w:hAnsi="仿宋" w:eastAsia="仿宋_GB2312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sz w:val="32"/>
          <w:szCs w:val="32"/>
          <w:lang w:val="zh-CN"/>
        </w:rPr>
        <w:t>评审标准：</w:t>
      </w:r>
    </w:p>
    <w:p w14:paraId="4832432D">
      <w:pPr>
        <w:widowControl/>
        <w:spacing w:line="580" w:lineRule="exact"/>
        <w:ind w:firstLine="640" w:firstLineChars="200"/>
        <w:rPr>
          <w:rFonts w:ascii="仿宋_GB2312" w:hAnsi="仿宋" w:eastAsia="仿宋_GB2312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lang w:bidi="ar"/>
        </w:rPr>
        <w:t>（一）科技创新奖：老科协对在科技创新领域做出突出成绩和重要贡献的个人和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lang w:eastAsia="zh-CN" w:bidi="ar"/>
        </w:rPr>
        <w:t>集体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lang w:bidi="ar"/>
        </w:rPr>
        <w:t>进行奖励。评选标准包括创新成果的科学性、技术性、经济和社会效益等。获奖者应具备较高的科技创新水平，其成果应具有重要影响力。</w:t>
      </w:r>
    </w:p>
    <w:p w14:paraId="297F98AF">
      <w:pPr>
        <w:widowControl/>
        <w:spacing w:line="580" w:lineRule="exact"/>
        <w:ind w:firstLine="640" w:firstLineChars="200"/>
        <w:rPr>
          <w:rFonts w:ascii="仿宋_GB2312" w:hAnsi="仿宋" w:eastAsia="仿宋_GB2312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lang w:bidi="ar"/>
        </w:rPr>
        <w:t>（二）科学普及奖：老科协对在科学普及领域做出突出成绩和重要贡献的个人和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lang w:eastAsia="zh-CN" w:bidi="ar"/>
        </w:rPr>
        <w:t>集体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lang w:bidi="ar"/>
        </w:rPr>
        <w:t>进行奖励。评选标准包括科普工作的创新性、覆盖范围、传播实效等。</w:t>
      </w:r>
    </w:p>
    <w:p w14:paraId="20C4FB87">
      <w:pPr>
        <w:widowControl/>
        <w:spacing w:line="580" w:lineRule="exact"/>
        <w:ind w:firstLine="640" w:firstLineChars="200"/>
        <w:rPr>
          <w:rFonts w:ascii="仿宋_GB2312" w:hAnsi="仿宋" w:eastAsia="仿宋_GB2312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lang w:bidi="ar"/>
        </w:rPr>
        <w:t>（三）成果转化奖：老科协对在科学研究成果转化应用方面取得突出成绩的个人和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lang w:eastAsia="zh-CN" w:bidi="ar"/>
        </w:rPr>
        <w:t>集体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lang w:bidi="ar"/>
        </w:rPr>
        <w:t>进行奖励。评选标准包括成果的实用性、转化效果、经济和社会效益等。获奖者应具备在科学研究成果推广方面的创新能力和实践经验，其成果应在实际应用中取得明显的效果。</w:t>
      </w:r>
    </w:p>
    <w:p w14:paraId="7E59CB41">
      <w:pPr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二、候选人</w:t>
      </w:r>
      <w:r>
        <w:rPr>
          <w:rFonts w:hint="eastAsia" w:ascii="Times New Roman" w:hAnsi="Times New Roman" w:eastAsia="黑体"/>
          <w:sz w:val="32"/>
          <w:szCs w:val="32"/>
        </w:rPr>
        <w:t>（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集体</w:t>
      </w:r>
      <w:r>
        <w:rPr>
          <w:rFonts w:hint="eastAsia" w:ascii="Times New Roman" w:hAnsi="Times New Roman" w:eastAsia="黑体"/>
          <w:sz w:val="32"/>
          <w:szCs w:val="32"/>
        </w:rPr>
        <w:t>）申报条件和</w:t>
      </w:r>
      <w:r>
        <w:rPr>
          <w:rFonts w:ascii="Times New Roman" w:hAnsi="Times New Roman" w:eastAsia="黑体"/>
          <w:sz w:val="32"/>
          <w:szCs w:val="32"/>
        </w:rPr>
        <w:t>产生方式</w:t>
      </w:r>
    </w:p>
    <w:p w14:paraId="34DF81E0">
      <w:pPr>
        <w:overflowPunct w:val="0"/>
        <w:topLinePunct/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zh-CN"/>
        </w:rPr>
        <w:t>（一）申报条件</w:t>
      </w:r>
    </w:p>
    <w:p w14:paraId="1327B5B6">
      <w:pPr>
        <w:widowControl/>
        <w:spacing w:line="580" w:lineRule="exact"/>
        <w:ind w:firstLine="640" w:firstLineChars="200"/>
        <w:rPr>
          <w:rFonts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1.个人候选人条件：</w:t>
      </w:r>
    </w:p>
    <w:p w14:paraId="10C2F340">
      <w:pPr>
        <w:widowControl/>
        <w:spacing w:line="580" w:lineRule="exact"/>
        <w:ind w:firstLine="640" w:firstLineChars="200"/>
        <w:rPr>
          <w:rFonts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（1）拥护中国共产党领导，热爱祖国，遵纪守法，恪守科学道德，学风正派，品行端正，无学术不端、失信惩戒及其他违法违纪记录。</w:t>
      </w:r>
    </w:p>
    <w:p w14:paraId="471E83FD">
      <w:pPr>
        <w:widowControl/>
        <w:spacing w:line="580" w:lineRule="exact"/>
        <w:ind w:firstLine="640" w:firstLineChars="200"/>
        <w:rPr>
          <w:rFonts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（2）截至2025年12月31日，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男性候选人年龄须满60周岁，即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出生日期在 1965年12月31日（含）之前；女性候选人年龄须满55周岁，即出生日期在 1970年12月31日（含）之前。</w:t>
      </w:r>
    </w:p>
    <w:p w14:paraId="046165B6">
      <w:pPr>
        <w:widowControl/>
        <w:spacing w:line="580" w:lineRule="exact"/>
        <w:ind w:firstLine="640" w:firstLineChars="200"/>
        <w:rPr>
          <w:rFonts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（3）候选人事迹应主要为退休后的工作成果，可以与退休前的工作有一定的连贯性。</w:t>
      </w:r>
    </w:p>
    <w:p w14:paraId="3FF3C967">
      <w:pPr>
        <w:widowControl/>
        <w:spacing w:line="580" w:lineRule="exact"/>
        <w:ind w:firstLine="640" w:firstLineChars="200"/>
        <w:rPr>
          <w:rFonts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2.候选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eastAsia="zh-CN" w:bidi="ar"/>
        </w:rPr>
        <w:t>集体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条件：</w:t>
      </w:r>
    </w:p>
    <w:p w14:paraId="61B0C29D">
      <w:pPr>
        <w:widowControl/>
        <w:spacing w:line="580" w:lineRule="exact"/>
        <w:ind w:firstLine="640" w:firstLineChars="200"/>
        <w:rPr>
          <w:rFonts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（1）依法登记设立，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eastAsia="zh-CN" w:bidi="ar"/>
        </w:rPr>
        <w:t>集体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机构健全，内部管理制度完善，运营规范。</w:t>
      </w:r>
    </w:p>
    <w:p w14:paraId="58DDBF92"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（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）无违法违规行为、行政处罚记录，未被列入社会组织活动异常名录或严重违法失信名单，社会信誉良好。</w:t>
      </w:r>
    </w:p>
    <w:p w14:paraId="65B0B3A6"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（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）成绩突出、成效显著、特色鲜明，具有良好的行业影响力和示范效应。</w:t>
      </w:r>
    </w:p>
    <w:p w14:paraId="19301991"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（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）先进集体一般需要获得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eastAsia="zh-CN" w:bidi="ar"/>
        </w:rPr>
        <w:t>党委、政府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表扬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eastAsia="zh-CN" w:bidi="ar"/>
        </w:rPr>
        <w:t>，或者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获得上级或者社会有影响力的表彰。</w:t>
      </w:r>
    </w:p>
    <w:p w14:paraId="63429724">
      <w:pPr>
        <w:widowControl/>
        <w:spacing w:line="580" w:lineRule="exact"/>
        <w:ind w:firstLine="640" w:firstLineChars="200"/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（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）推荐单位将本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eastAsia="zh-CN" w:bidi="ar"/>
        </w:rPr>
        <w:t>单位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作为候选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eastAsia="zh-CN" w:bidi="ar"/>
        </w:rPr>
        <w:t>集体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推荐的，需要在推动政策制定、建立健全制度、创新工作模式等方面取得标志性成果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eastAsia="zh-CN" w:bidi="ar"/>
        </w:rPr>
        <w:t>和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highlight w:val="none"/>
          <w:lang w:bidi="ar"/>
        </w:rPr>
        <w:t>主流媒体报道等。</w:t>
      </w:r>
    </w:p>
    <w:p w14:paraId="75E40F48">
      <w:pPr>
        <w:overflowPunct w:val="0"/>
        <w:topLinePunct/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  <w:lang w:val="zh-CN"/>
        </w:rPr>
        <w:t>（二）产生方式</w:t>
      </w:r>
    </w:p>
    <w:p w14:paraId="6ED01FA5">
      <w:pPr>
        <w:overflowPunct w:val="0"/>
        <w:topLinePunct/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snapToGrid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lang w:val="zh-CN"/>
        </w:rPr>
        <w:t>候选人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（集体）由推荐和</w:t>
      </w:r>
      <w:r>
        <w:rPr>
          <w:rFonts w:ascii="Times New Roman" w:hAnsi="Times New Roman" w:eastAsia="仿宋_GB2312"/>
          <w:sz w:val="32"/>
          <w:szCs w:val="32"/>
          <w:lang w:val="zh-CN"/>
        </w:rPr>
        <w:t>提名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产生</w:t>
      </w:r>
      <w:r>
        <w:rPr>
          <w:rFonts w:ascii="Times New Roman" w:hAnsi="Times New Roman" w:eastAsia="仿宋_GB2312"/>
          <w:sz w:val="32"/>
          <w:szCs w:val="32"/>
          <w:lang w:val="zh-CN"/>
        </w:rPr>
        <w:t>。</w:t>
      </w:r>
      <w:r>
        <w:rPr>
          <w:rFonts w:ascii="Times New Roman" w:hAnsi="Times New Roman" w:eastAsia="仿宋_GB2312"/>
          <w:snapToGrid w:val="0"/>
          <w:sz w:val="32"/>
          <w:szCs w:val="32"/>
        </w:rPr>
        <w:t>提名</w:t>
      </w:r>
      <w:r>
        <w:rPr>
          <w:rFonts w:hint="eastAsia" w:ascii="Times New Roman" w:hAnsi="Times New Roman" w:eastAsia="仿宋_GB2312"/>
          <w:snapToGrid w:val="0"/>
          <w:sz w:val="32"/>
          <w:szCs w:val="32"/>
        </w:rPr>
        <w:t>单位</w:t>
      </w:r>
      <w:r>
        <w:rPr>
          <w:rFonts w:ascii="Times New Roman" w:hAnsi="Times New Roman" w:eastAsia="仿宋_GB2312"/>
          <w:snapToGrid w:val="0"/>
          <w:sz w:val="32"/>
          <w:szCs w:val="32"/>
        </w:rPr>
        <w:t>为中国老科协会长办公会；推荐</w:t>
      </w:r>
      <w:r>
        <w:rPr>
          <w:rFonts w:hint="eastAsia" w:ascii="Times New Roman" w:hAnsi="Times New Roman" w:eastAsia="仿宋_GB2312"/>
          <w:snapToGrid w:val="0"/>
          <w:sz w:val="32"/>
          <w:szCs w:val="32"/>
        </w:rPr>
        <w:t>单位</w:t>
      </w:r>
      <w:r>
        <w:rPr>
          <w:rFonts w:ascii="Times New Roman" w:hAnsi="Times New Roman" w:eastAsia="仿宋_GB2312"/>
          <w:snapToGrid w:val="0"/>
          <w:sz w:val="32"/>
          <w:szCs w:val="32"/>
        </w:rPr>
        <w:t>为中国老科协各分会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napToGrid w:val="0"/>
          <w:sz w:val="32"/>
          <w:szCs w:val="32"/>
        </w:rPr>
        <w:t>各省、自治区、直辖市老科协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napToGrid w:val="0"/>
          <w:sz w:val="32"/>
          <w:szCs w:val="32"/>
        </w:rPr>
        <w:t>新疆生产建设兵团科协</w:t>
      </w:r>
      <w:r>
        <w:rPr>
          <w:rFonts w:hint="eastAsia" w:ascii="Times New Roman" w:hAnsi="Times New Roman" w:eastAsia="仿宋_GB2312"/>
          <w:snapToGrid w:val="0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  <w:lang w:val="zh-CN"/>
        </w:rPr>
        <w:t>中国老科协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单位</w:t>
      </w:r>
      <w:r>
        <w:rPr>
          <w:rFonts w:ascii="Times New Roman" w:hAnsi="Times New Roman" w:eastAsia="仿宋_GB2312"/>
          <w:sz w:val="32"/>
          <w:szCs w:val="32"/>
          <w:lang w:val="zh-CN"/>
        </w:rPr>
        <w:t>会员中的企事业单位、科研院所等老科协的推荐名额按属地包含在各省、自治区、直辖市老科协名额数量内，不再单独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组织推荐</w:t>
      </w:r>
      <w:r>
        <w:rPr>
          <w:rFonts w:ascii="Times New Roman" w:hAnsi="Times New Roman" w:eastAsia="仿宋_GB2312"/>
          <w:sz w:val="32"/>
          <w:szCs w:val="32"/>
          <w:lang w:val="zh-CN"/>
        </w:rPr>
        <w:t>。</w:t>
      </w:r>
    </w:p>
    <w:p w14:paraId="25C1CE37">
      <w:pPr>
        <w:widowControl/>
        <w:spacing w:line="580" w:lineRule="exact"/>
        <w:ind w:firstLine="643" w:firstLineChars="200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b/>
          <w:bCs/>
          <w:color w:val="000000"/>
          <w:kern w:val="0"/>
          <w:sz w:val="32"/>
          <w:szCs w:val="32"/>
          <w:lang w:bidi="ar"/>
        </w:rPr>
        <w:t>奖励数量原则上不超过申报数量的40%—50%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>。其中贡献特别突出的授予“突出奖”，授奖数量原则上不超过获奖人数的5%。</w:t>
      </w:r>
    </w:p>
    <w:p w14:paraId="22D7B8DC">
      <w:pPr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  <w:lang w:val="zh-CN"/>
        </w:rPr>
        <w:t>本年度计划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zh-CN"/>
        </w:rPr>
        <w:t>差额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评选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200名左右，其中突出奖10名。每个推荐单位至多可推荐1人作为突出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奖候选人。候选人推荐名额，由中国老科协根据各地老科技工作者数量和老科协工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zh-CN"/>
        </w:rPr>
        <w:t>作情况进行分配（详见附件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3）。</w:t>
      </w:r>
    </w:p>
    <w:p w14:paraId="3455B3EF">
      <w:pPr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三、评审机制</w:t>
      </w:r>
    </w:p>
    <w:p w14:paraId="164312DA">
      <w:pPr>
        <w:spacing w:line="580" w:lineRule="exact"/>
        <w:ind w:firstLine="640" w:firstLineChars="200"/>
        <w:rPr>
          <w:rFonts w:ascii="Times New Roman" w:hAnsi="Times New Roman" w:eastAsia="仿宋_GB2312"/>
          <w:snapToGrid w:val="0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zh-CN"/>
        </w:rPr>
        <w:t>中国老科协科学技术奖</w:t>
      </w:r>
      <w:r>
        <w:rPr>
          <w:rFonts w:hint="eastAsia" w:ascii="Times New Roman" w:hAnsi="Times New Roman" w:eastAsia="仿宋_GB2312"/>
          <w:snapToGrid w:val="0"/>
          <w:sz w:val="32"/>
          <w:szCs w:val="32"/>
        </w:rPr>
        <w:t>实行</w:t>
      </w:r>
      <w:r>
        <w:rPr>
          <w:rFonts w:hint="eastAsia" w:ascii="Times New Roman" w:hAnsi="Times New Roman" w:eastAsia="仿宋_GB2312"/>
          <w:b/>
          <w:snapToGrid w:val="0"/>
          <w:sz w:val="32"/>
          <w:szCs w:val="32"/>
        </w:rPr>
        <w:t>分级评审、差额评审</w:t>
      </w:r>
      <w:r>
        <w:rPr>
          <w:rFonts w:hint="eastAsia" w:ascii="Times New Roman" w:hAnsi="Times New Roman" w:eastAsia="仿宋_GB2312"/>
          <w:snapToGrid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b/>
          <w:snapToGrid w:val="0"/>
          <w:sz w:val="32"/>
          <w:szCs w:val="32"/>
        </w:rPr>
        <w:t>各推荐单位按照分配推荐名额数量，采用差额评审方式，从中遴选</w:t>
      </w:r>
      <w:r>
        <w:rPr>
          <w:rFonts w:hint="eastAsia" w:ascii="仿宋_GB2312" w:hAnsi="仿宋_GB2312" w:eastAsia="仿宋_GB2312" w:cs="仿宋_GB2312"/>
          <w:b/>
          <w:snapToGrid w:val="0"/>
          <w:sz w:val="32"/>
          <w:szCs w:val="32"/>
        </w:rPr>
        <w:t>40%—50%</w:t>
      </w:r>
      <w:r>
        <w:rPr>
          <w:rFonts w:hint="eastAsia" w:ascii="Times New Roman" w:hAnsi="Times New Roman" w:eastAsia="仿宋_GB2312"/>
          <w:b/>
          <w:snapToGrid w:val="0"/>
          <w:sz w:val="32"/>
          <w:szCs w:val="32"/>
        </w:rPr>
        <w:t>候选人（个人或者</w:t>
      </w:r>
      <w:r>
        <w:rPr>
          <w:rFonts w:hint="eastAsia" w:ascii="Times New Roman" w:hAnsi="Times New Roman" w:eastAsia="仿宋_GB2312"/>
          <w:b/>
          <w:snapToGrid w:val="0"/>
          <w:sz w:val="32"/>
          <w:szCs w:val="32"/>
          <w:lang w:eastAsia="zh-CN"/>
        </w:rPr>
        <w:t>集体</w:t>
      </w:r>
      <w:r>
        <w:rPr>
          <w:rFonts w:hint="eastAsia" w:ascii="Times New Roman" w:hAnsi="Times New Roman" w:eastAsia="仿宋_GB2312"/>
          <w:b/>
          <w:snapToGrid w:val="0"/>
          <w:sz w:val="32"/>
          <w:szCs w:val="32"/>
        </w:rPr>
        <w:t>）推荐到中国老科协科学技术奖评审委员会。</w:t>
      </w:r>
      <w:r>
        <w:rPr>
          <w:rFonts w:hint="eastAsia" w:ascii="Times New Roman" w:hAnsi="Times New Roman" w:eastAsia="仿宋_GB2312"/>
          <w:snapToGrid w:val="0"/>
          <w:sz w:val="32"/>
          <w:szCs w:val="32"/>
        </w:rPr>
        <w:t>中国老科协科学技术奖评审委员会将评审产生建议授奖名单，经会长办公会、常务理事会审议通过后，向社会公示拟获奖名单，并最终形成获奖名单。</w:t>
      </w:r>
      <w:r>
        <w:rPr>
          <w:rFonts w:hint="eastAsia" w:ascii="Times New Roman" w:hAnsi="Times New Roman" w:eastAsia="仿宋_GB2312"/>
          <w:b/>
          <w:snapToGrid w:val="0"/>
          <w:sz w:val="32"/>
          <w:szCs w:val="32"/>
        </w:rPr>
        <w:t>有条件的推荐单位对未被遴选上的对象进行本级奖励。</w:t>
      </w:r>
    </w:p>
    <w:p w14:paraId="68B038AF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ascii="Times New Roman" w:hAnsi="Times New Roman" w:eastAsia="仿宋_GB2312"/>
          <w:sz w:val="32"/>
          <w:szCs w:val="32"/>
          <w:lang w:val="zh-CN"/>
        </w:rPr>
        <w:t>各推荐单位要严格推荐程序和评选标准，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广泛动员，确保评选的公正、公平和公开。严格按照《管理办法》开展推荐评审工作，对候选人提交的材料进行认真审核，确保候选人符合评选标准和条件。确保不受理涉及国防、国家安全领域的保密项目及其完成人参评。对违反保密规定的材料一律不受理，并对相关推荐单位进行反馈。</w:t>
      </w:r>
      <w:r>
        <w:rPr>
          <w:rFonts w:ascii="Times New Roman" w:hAnsi="Times New Roman" w:eastAsia="仿宋_GB2312"/>
          <w:sz w:val="32"/>
          <w:szCs w:val="32"/>
          <w:lang w:val="zh-CN"/>
        </w:rPr>
        <w:t>所推荐的候选人要经过有关评审委员会评审，并经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所在老科协组织</w:t>
      </w:r>
      <w:r>
        <w:rPr>
          <w:rFonts w:ascii="Times New Roman" w:hAnsi="Times New Roman" w:eastAsia="仿宋_GB2312"/>
          <w:sz w:val="32"/>
          <w:szCs w:val="32"/>
          <w:lang w:val="zh-CN"/>
        </w:rPr>
        <w:t>常务理事会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审议</w:t>
      </w:r>
      <w:r>
        <w:rPr>
          <w:rFonts w:ascii="Times New Roman" w:hAnsi="Times New Roman" w:eastAsia="仿宋_GB2312"/>
          <w:sz w:val="32"/>
          <w:szCs w:val="32"/>
          <w:lang w:val="zh-CN"/>
        </w:rPr>
        <w:t>通过。</w:t>
      </w:r>
    </w:p>
    <w:p w14:paraId="131488B2">
      <w:pPr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</w:rPr>
        <w:t>组织保障和计划工作进度</w:t>
      </w:r>
    </w:p>
    <w:p w14:paraId="7A7322C6">
      <w:pPr>
        <w:spacing w:line="580" w:lineRule="exact"/>
        <w:ind w:firstLine="640" w:firstLineChars="200"/>
        <w:rPr>
          <w:rFonts w:ascii="仿宋_GB2312" w:hAnsi="仿宋" w:eastAsia="仿宋_GB2312" w:cs="宋体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sz w:val="32"/>
          <w:szCs w:val="32"/>
          <w:lang w:val="zh-CN"/>
        </w:rPr>
        <w:t>中国老科协科学技术奖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由中国老科协秘书处会同组织建设与服务专委会、人才与宣传工作专委会、科普与教育专委会承担。</w:t>
      </w:r>
      <w:r>
        <w:rPr>
          <w:rFonts w:hint="eastAsia" w:ascii="仿宋_GB2312" w:hAnsi="仿宋" w:eastAsia="仿宋_GB2312" w:cs="宋体"/>
          <w:sz w:val="32"/>
          <w:szCs w:val="32"/>
          <w:lang w:val="zh-CN"/>
        </w:rPr>
        <w:t>各推荐单位应根据工作需要，成立有关组织领导机构，制定工作方案，合理安排部署，优质高效地完成初评和推荐工作。初步计划按如下时间进度推进：</w:t>
      </w:r>
    </w:p>
    <w:p w14:paraId="09DF3A89">
      <w:pPr>
        <w:spacing w:line="580" w:lineRule="exact"/>
        <w:ind w:firstLine="640" w:firstLineChars="200"/>
        <w:rPr>
          <w:rFonts w:ascii="仿宋_GB2312" w:hAnsi="仿宋" w:eastAsia="仿宋_GB2312" w:cs="宋体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>3</w:t>
      </w:r>
      <w:r>
        <w:rPr>
          <w:rFonts w:hint="eastAsia" w:ascii="仿宋_GB2312" w:hAnsi="仿宋" w:eastAsia="仿宋_GB2312" w:cs="宋体"/>
          <w:sz w:val="32"/>
          <w:szCs w:val="32"/>
          <w:lang w:val="zh-CN"/>
        </w:rPr>
        <w:t>月上旬，印发《关于开展202</w:t>
      </w:r>
      <w:r>
        <w:rPr>
          <w:rFonts w:hint="eastAsia" w:ascii="仿宋_GB2312" w:hAnsi="仿宋" w:eastAsia="仿宋_GB2312" w:cs="宋体"/>
          <w:sz w:val="32"/>
          <w:szCs w:val="32"/>
        </w:rPr>
        <w:t>6</w:t>
      </w:r>
      <w:r>
        <w:rPr>
          <w:rFonts w:hint="eastAsia" w:ascii="仿宋_GB2312" w:hAnsi="仿宋" w:eastAsia="仿宋_GB2312" w:cs="宋体"/>
          <w:sz w:val="32"/>
          <w:szCs w:val="32"/>
          <w:lang w:val="zh-CN"/>
        </w:rPr>
        <w:t>年度中国老科学技术工作者协会科学技术奖候选人推荐工作的通知》，各推荐单位组织初评；</w:t>
      </w:r>
    </w:p>
    <w:p w14:paraId="2829601D">
      <w:pPr>
        <w:spacing w:line="580" w:lineRule="exact"/>
        <w:ind w:firstLine="640" w:firstLineChars="200"/>
        <w:rPr>
          <w:rFonts w:ascii="仿宋_GB2312" w:hAnsi="仿宋" w:eastAsia="仿宋_GB2312" w:cs="宋体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>4月上旬</w:t>
      </w:r>
      <w:r>
        <w:rPr>
          <w:rFonts w:hint="eastAsia" w:ascii="仿宋_GB2312" w:hAnsi="仿宋" w:eastAsia="仿宋_GB2312" w:cs="宋体"/>
          <w:sz w:val="32"/>
          <w:szCs w:val="32"/>
          <w:lang w:val="zh-CN"/>
        </w:rPr>
        <w:t>，各推荐单位上报初评结果，将候选人的纸质盖章版推荐材料扫描件和电子版推荐材料</w:t>
      </w:r>
      <w:r>
        <w:rPr>
          <w:rFonts w:ascii="仿宋_GB2312" w:hAnsi="仿宋" w:eastAsia="仿宋_GB2312" w:cs="宋体"/>
          <w:sz w:val="32"/>
          <w:szCs w:val="32"/>
          <w:lang w:val="zh-CN"/>
        </w:rPr>
        <w:t>分别</w:t>
      </w:r>
      <w:r>
        <w:rPr>
          <w:rFonts w:hint="eastAsia" w:ascii="仿宋_GB2312" w:hAnsi="仿宋" w:eastAsia="仿宋_GB2312" w:cs="宋体"/>
          <w:sz w:val="32"/>
          <w:szCs w:val="32"/>
          <w:lang w:val="zh-CN"/>
        </w:rPr>
        <w:t>报送中国老科协秘书处，逾期不予受理；</w:t>
      </w:r>
    </w:p>
    <w:p w14:paraId="111D2415">
      <w:pPr>
        <w:spacing w:line="580" w:lineRule="exact"/>
        <w:ind w:firstLine="640" w:firstLineChars="200"/>
        <w:rPr>
          <w:rFonts w:ascii="仿宋_GB2312" w:hAnsi="仿宋" w:eastAsia="仿宋_GB2312" w:cs="宋体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sz w:val="32"/>
          <w:szCs w:val="32"/>
          <w:lang w:val="zh-CN"/>
        </w:rPr>
        <w:t>4月中旬，评审委员会办公室对老科奖候选人材料进行形式审查；</w:t>
      </w:r>
    </w:p>
    <w:p w14:paraId="650C9226">
      <w:pPr>
        <w:spacing w:line="580" w:lineRule="exact"/>
        <w:ind w:firstLine="640" w:firstLineChars="200"/>
        <w:rPr>
          <w:rFonts w:ascii="仿宋_GB2312" w:hAnsi="仿宋" w:eastAsia="仿宋_GB2312" w:cs="宋体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sz w:val="32"/>
          <w:szCs w:val="32"/>
          <w:lang w:val="zh-CN"/>
        </w:rPr>
        <w:t>5月上旬，评审委员会完成评审并对评审结果进行公示；公示无异议后，经中国老科协常务理事会审议通过，正式确定获奖名单；</w:t>
      </w:r>
    </w:p>
    <w:p w14:paraId="2AFA2D26">
      <w:pPr>
        <w:ind w:firstLine="640" w:firstLineChars="200"/>
        <w:rPr>
          <w:rFonts w:ascii="仿宋_GB2312" w:hAnsi="仿宋" w:eastAsia="仿宋_GB2312" w:cs="宋体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sz w:val="32"/>
          <w:szCs w:val="32"/>
          <w:lang w:val="zh-CN"/>
        </w:rPr>
        <w:t>5月30日，在全国科技工作者日公布获奖名单；</w:t>
      </w:r>
    </w:p>
    <w:p w14:paraId="2D6B5E30">
      <w:pPr>
        <w:ind w:firstLine="640" w:firstLineChars="200"/>
        <w:rPr>
          <w:rFonts w:ascii="仿宋_GB2312" w:hAnsi="仿宋" w:eastAsia="仿宋_GB2312" w:cs="宋体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>10月，在重阳节全国老科技工作者日期间颁发证书、奖章或奖牌等。</w:t>
      </w:r>
    </w:p>
    <w:p w14:paraId="4298F398">
      <w:pPr>
        <w:rPr>
          <w:lang w:val="zh-CN"/>
        </w:rPr>
      </w:pPr>
    </w:p>
    <w:p w14:paraId="39C4984D"/>
    <w:sectPr>
      <w:footerReference r:id="rId3" w:type="default"/>
      <w:pgSz w:w="11906" w:h="16838"/>
      <w:pgMar w:top="1418" w:right="1474" w:bottom="992" w:left="1588" w:header="0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B35E7">
    <w:pPr>
      <w:pStyle w:val="2"/>
      <w:framePr w:wrap="around" w:vAnchor="text" w:hAnchor="margin" w:xAlign="outside" w:y="1"/>
      <w:ind w:left="420" w:leftChars="200" w:right="420" w:rightChars="200"/>
      <w:rPr>
        <w:rStyle w:val="7"/>
        <w:rFonts w:ascii="Times New Roman" w:hAnsi="Times New Roman" w:cs="Times New Roman"/>
        <w:sz w:val="28"/>
      </w:rPr>
    </w:pPr>
    <w:r>
      <w:rPr>
        <w:rStyle w:val="7"/>
        <w:rFonts w:ascii="Times New Roman" w:hAnsi="Times New Roman" w:cs="Times New Roman"/>
        <w:sz w:val="28"/>
      </w:rPr>
      <w:t xml:space="preserve">— </w:t>
    </w:r>
    <w:r>
      <w:rPr>
        <w:rStyle w:val="7"/>
        <w:rFonts w:ascii="Times New Roman" w:hAnsi="Times New Roman" w:cs="Times New Roman"/>
        <w:sz w:val="28"/>
      </w:rPr>
      <w:fldChar w:fldCharType="begin"/>
    </w:r>
    <w:r>
      <w:rPr>
        <w:rStyle w:val="7"/>
        <w:rFonts w:ascii="Times New Roman" w:hAnsi="Times New Roman" w:cs="Times New Roman"/>
        <w:sz w:val="28"/>
      </w:rPr>
      <w:instrText xml:space="preserve">PAGE  </w:instrText>
    </w:r>
    <w:r>
      <w:rPr>
        <w:rStyle w:val="7"/>
        <w:rFonts w:ascii="Times New Roman" w:hAnsi="Times New Roman" w:cs="Times New Roman"/>
        <w:sz w:val="28"/>
      </w:rPr>
      <w:fldChar w:fldCharType="separate"/>
    </w:r>
    <w:r>
      <w:rPr>
        <w:rStyle w:val="7"/>
        <w:rFonts w:ascii="Times New Roman" w:hAnsi="Times New Roman" w:cs="Times New Roman"/>
        <w:sz w:val="28"/>
      </w:rPr>
      <w:t>11</w:t>
    </w:r>
    <w:r>
      <w:rPr>
        <w:rStyle w:val="7"/>
        <w:rFonts w:ascii="Times New Roman" w:hAnsi="Times New Roman" w:cs="Times New Roman"/>
        <w:sz w:val="28"/>
      </w:rPr>
      <w:fldChar w:fldCharType="end"/>
    </w:r>
    <w:r>
      <w:rPr>
        <w:rStyle w:val="7"/>
        <w:rFonts w:ascii="Times New Roman" w:hAnsi="Times New Roman" w:cs="Times New Roman"/>
        <w:sz w:val="28"/>
      </w:rPr>
      <w:t xml:space="preserve"> —</w:t>
    </w:r>
  </w:p>
  <w:sdt>
    <w:sdtPr>
      <w:id w:val="1548878341"/>
      <w:showingPlcHdr/>
    </w:sdtPr>
    <w:sdtEndPr>
      <w:rPr>
        <w:rFonts w:ascii="Times New Roman" w:hAnsi="Times New Roman" w:cs="Times New Roman"/>
      </w:rPr>
    </w:sdtEndPr>
    <w:sdtContent>
      <w:p w14:paraId="115DA456">
        <w:pPr>
          <w:pStyle w:val="2"/>
          <w:jc w:val="right"/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2129D3"/>
    <w:rsid w:val="006F3AFF"/>
    <w:rsid w:val="009E5553"/>
    <w:rsid w:val="00A84896"/>
    <w:rsid w:val="00C82845"/>
    <w:rsid w:val="00F7699B"/>
    <w:rsid w:val="00FF06B4"/>
    <w:rsid w:val="05250453"/>
    <w:rsid w:val="0BE45BD8"/>
    <w:rsid w:val="0E22484D"/>
    <w:rsid w:val="0F7A0392"/>
    <w:rsid w:val="116C6D9B"/>
    <w:rsid w:val="11A30BFE"/>
    <w:rsid w:val="11B147AE"/>
    <w:rsid w:val="1332191F"/>
    <w:rsid w:val="13C9271C"/>
    <w:rsid w:val="1D17405F"/>
    <w:rsid w:val="1D6F5C49"/>
    <w:rsid w:val="1F5B3E00"/>
    <w:rsid w:val="213827F6"/>
    <w:rsid w:val="21551AA3"/>
    <w:rsid w:val="23505E26"/>
    <w:rsid w:val="24BD3438"/>
    <w:rsid w:val="27642445"/>
    <w:rsid w:val="2D300825"/>
    <w:rsid w:val="38E057F5"/>
    <w:rsid w:val="3A9F131E"/>
    <w:rsid w:val="3D4F2F4A"/>
    <w:rsid w:val="429D2E48"/>
    <w:rsid w:val="45AA3413"/>
    <w:rsid w:val="467001B9"/>
    <w:rsid w:val="4D6B3488"/>
    <w:rsid w:val="4E9E163B"/>
    <w:rsid w:val="58675193"/>
    <w:rsid w:val="5C2A2760"/>
    <w:rsid w:val="5F105C3D"/>
    <w:rsid w:val="5FD76FB5"/>
    <w:rsid w:val="63D23E09"/>
    <w:rsid w:val="65650146"/>
    <w:rsid w:val="678A625E"/>
    <w:rsid w:val="68B87221"/>
    <w:rsid w:val="691547FE"/>
    <w:rsid w:val="6B155212"/>
    <w:rsid w:val="701F5AB8"/>
    <w:rsid w:val="712B4348"/>
    <w:rsid w:val="78D37FAF"/>
    <w:rsid w:val="7D21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paragraph" w:customStyle="1" w:styleId="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4d1084c8-6fa1-43f0-94d5-dc0af3b4c011</errorID>
      <errorWord>党委政府</errorWord>
      <group>L1_Political</group>
      <groupName>政治性问题</groupName>
      <ability>L2_Keyword</ability>
      <abilityName>固定表述</abilityName>
      <candidateList>
        <item>党委、政府</item>
      </candidateList>
      <explain>注意检查当前固定表述标点是否使用规范。</explain>
      <paraID>19301991</paraID>
      <start>13</start>
      <end>18</end>
      <status>modified</status>
      <modifiedWord>党委、政府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da89-46ea-4fdb-8a7e-e7731a7aaa2e}">
  <ds:schemaRefs/>
</ds:datastoreItem>
</file>

<file path=customXml/itemProps2.xml><?xml version="1.0" encoding="utf-8"?>
<ds:datastoreItem xmlns:ds="http://schemas.openxmlformats.org/officeDocument/2006/customXml" ds:itemID="{13D93AE1-42DD-4CEA-874D-A85B4754AC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2109</Words>
  <Characters>2151</Characters>
  <Lines>16</Lines>
  <Paragraphs>4</Paragraphs>
  <TotalTime>7</TotalTime>
  <ScaleCrop>false</ScaleCrop>
  <LinksUpToDate>false</LinksUpToDate>
  <CharactersWithSpaces>2153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2026-03-09T15:46:00Z</dcterms:created>
  <dc:creator>lenovo</dc:creator>
  <cp:lastModifiedBy>Suo</cp:lastModifiedBy>
  <cp:lastPrinted>2026-03-10T08:03:00Z</cp:lastPrinted>
  <dcterms:modified xsi:type="dcterms:W3CDTF">2026-03-10T08:15:43Z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AB1F19B773E04A9BA3DD86AB597188A4_13</vt:lpwstr>
  </property>
  <property fmtid="{D5CDD505-2E9C-101B-9397-08002B2CF9AE}" pid="4" name="KSOTemplateDocerSaveRecord">
    <vt:lpwstr>eyJoZGlkIjoiMjc1ZmNlNDMxZDE5NTg3ZTRlNjJlMTdmOGY5NTY1ODgiLCJ1c2VySWQiOiIxNDc4NTI0NDEzIn0=</vt:lpwstr>
  </property>
</Properties>
</file>